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440F" w14:textId="3D0213B6" w:rsidR="00A72925" w:rsidRDefault="00A72925" w:rsidP="009440D3">
      <w:pPr>
        <w:spacing w:after="0" w:line="888" w:lineRule="atLeast"/>
        <w:jc w:val="center"/>
        <w:outlineLvl w:val="0"/>
        <w:rPr>
          <w:rFonts w:ascii="&amp;quot" w:eastAsia="Times New Roman" w:hAnsi="&amp;quot" w:cs="Times New Roman"/>
          <w:color w:val="222222"/>
          <w:kern w:val="36"/>
          <w:lang w:eastAsia="en-GB"/>
        </w:rPr>
      </w:pPr>
      <w:bookmarkStart w:id="0" w:name="_GoBack"/>
      <w:bookmarkEnd w:id="0"/>
      <w:r w:rsidRPr="00A72925">
        <w:rPr>
          <w:rFonts w:ascii="&amp;quot" w:eastAsia="Times New Roman" w:hAnsi="&amp;quot" w:cs="Times New Roman"/>
          <w:color w:val="222222"/>
          <w:kern w:val="36"/>
          <w:lang w:eastAsia="en-GB"/>
        </w:rPr>
        <w:t>Coronavirus (COVID-19) sector-specific guidance: Conveyancers</w:t>
      </w:r>
    </w:p>
    <w:p w14:paraId="13BAEFBB" w14:textId="77777777" w:rsidR="009440D3" w:rsidRPr="00A72925" w:rsidRDefault="009440D3" w:rsidP="009440D3">
      <w:pPr>
        <w:spacing w:after="0" w:line="888" w:lineRule="atLeast"/>
        <w:jc w:val="center"/>
        <w:outlineLvl w:val="0"/>
        <w:rPr>
          <w:rFonts w:ascii="&amp;quot" w:eastAsia="Times New Roman" w:hAnsi="&amp;quot" w:cs="Times New Roman"/>
          <w:color w:val="222222"/>
          <w:lang w:eastAsia="en-GB"/>
        </w:rPr>
      </w:pPr>
    </w:p>
    <w:p w14:paraId="4419C1C9" w14:textId="2C850F7D" w:rsidR="00A72925" w:rsidRPr="00605E9B" w:rsidRDefault="00A72925" w:rsidP="009440D3">
      <w:pPr>
        <w:spacing w:after="0" w:line="431" w:lineRule="atLeast"/>
        <w:rPr>
          <w:rFonts w:ascii="&amp;quot" w:eastAsia="Times New Roman" w:hAnsi="&amp;quot" w:cs="Times New Roman"/>
          <w:color w:val="222222"/>
          <w:lang w:eastAsia="en-GB"/>
        </w:rPr>
      </w:pPr>
      <w:r w:rsidRPr="00A72925">
        <w:rPr>
          <w:rFonts w:ascii="&amp;quot" w:eastAsia="Times New Roman" w:hAnsi="&amp;quot" w:cs="Times New Roman"/>
          <w:color w:val="222222"/>
          <w:lang w:eastAsia="en-GB"/>
        </w:rPr>
        <w:t>The impact of coronavirus (</w:t>
      </w:r>
      <w:r w:rsidRPr="00605E9B">
        <w:rPr>
          <w:rFonts w:ascii="&amp;quot" w:eastAsia="Times New Roman" w:hAnsi="&amp;quot" w:cs="Times New Roman"/>
          <w:color w:val="222222"/>
          <w:lang w:eastAsia="en-GB"/>
        </w:rPr>
        <w:t xml:space="preserve">COVID-19) </w:t>
      </w:r>
      <w:r w:rsidR="00ED67CE" w:rsidRPr="00605E9B">
        <w:rPr>
          <w:rFonts w:ascii="&amp;quot" w:eastAsia="Times New Roman" w:hAnsi="&amp;quot" w:cs="Times New Roman"/>
          <w:color w:val="222222"/>
          <w:lang w:eastAsia="en-GB"/>
        </w:rPr>
        <w:t>continues to cause</w:t>
      </w:r>
      <w:r w:rsidRPr="00605E9B">
        <w:rPr>
          <w:rFonts w:ascii="&amp;quot" w:eastAsia="Times New Roman" w:hAnsi="&amp;quot" w:cs="Times New Roman"/>
          <w:color w:val="222222"/>
          <w:lang w:eastAsia="en-GB"/>
        </w:rPr>
        <w:t xml:space="preserve"> significant uncertainty not only for buyers and sellers but also for conveyancers</w:t>
      </w:r>
      <w:r w:rsidR="001D0E38" w:rsidRPr="00605E9B">
        <w:rPr>
          <w:rFonts w:ascii="&amp;quot" w:eastAsia="Times New Roman" w:hAnsi="&amp;quot" w:cs="Times New Roman"/>
          <w:color w:val="222222"/>
          <w:lang w:eastAsia="en-GB"/>
        </w:rPr>
        <w:t xml:space="preserve"> </w:t>
      </w:r>
      <w:r w:rsidR="00292706">
        <w:rPr>
          <w:rFonts w:ascii="&amp;quot" w:eastAsia="Times New Roman" w:hAnsi="&amp;quot" w:cs="Times New Roman"/>
          <w:color w:val="222222"/>
          <w:lang w:eastAsia="en-GB"/>
        </w:rPr>
        <w:t>against the backdrop of continuing changes to lockdown and tiering guidance as well as the rollout of the vaccination programme.</w:t>
      </w:r>
    </w:p>
    <w:p w14:paraId="2B2C255F" w14:textId="03EF16D1" w:rsidR="00A72925" w:rsidRPr="00605E9B" w:rsidRDefault="00A72925" w:rsidP="00A72925">
      <w:pPr>
        <w:spacing w:after="240" w:line="431" w:lineRule="atLeast"/>
        <w:rPr>
          <w:rFonts w:ascii="&amp;quot" w:eastAsia="Times New Roman" w:hAnsi="&amp;quot" w:cs="Times New Roman"/>
          <w:color w:val="222222"/>
          <w:lang w:eastAsia="en-GB"/>
        </w:rPr>
      </w:pPr>
      <w:r w:rsidRPr="00605E9B">
        <w:rPr>
          <w:rFonts w:ascii="&amp;quot" w:eastAsia="Times New Roman" w:hAnsi="&amp;quot" w:cs="Times New Roman"/>
          <w:color w:val="222222"/>
          <w:lang w:eastAsia="en-GB"/>
        </w:rPr>
        <w:t xml:space="preserve">This sector-specific guidance provides conveyancers with information to enable sales and purchases to be carried out while maintaining safety as social distancing measures </w:t>
      </w:r>
      <w:r w:rsidR="00F341BF" w:rsidRPr="00605E9B">
        <w:rPr>
          <w:rFonts w:ascii="&amp;quot" w:eastAsia="Times New Roman" w:hAnsi="&amp;quot" w:cs="Times New Roman"/>
          <w:color w:val="222222"/>
          <w:lang w:eastAsia="en-GB"/>
        </w:rPr>
        <w:t xml:space="preserve">continue to ease </w:t>
      </w:r>
      <w:r w:rsidR="00657F91">
        <w:rPr>
          <w:rFonts w:ascii="&amp;quot" w:eastAsia="Times New Roman" w:hAnsi="&amp;quot" w:cs="Times New Roman"/>
          <w:color w:val="222222"/>
          <w:lang w:eastAsia="en-GB"/>
        </w:rPr>
        <w:t>or</w:t>
      </w:r>
      <w:r w:rsidR="00F341BF" w:rsidRPr="00605E9B">
        <w:rPr>
          <w:rFonts w:ascii="&amp;quot" w:eastAsia="Times New Roman" w:hAnsi="&amp;quot" w:cs="Times New Roman"/>
          <w:color w:val="222222"/>
          <w:lang w:eastAsia="en-GB"/>
        </w:rPr>
        <w:t xml:space="preserve"> increase</w:t>
      </w:r>
      <w:r w:rsidRPr="00605E9B">
        <w:rPr>
          <w:rFonts w:ascii="&amp;quot" w:eastAsia="Times New Roman" w:hAnsi="&amp;quot" w:cs="Times New Roman"/>
          <w:color w:val="222222"/>
          <w:lang w:eastAsia="en-GB"/>
        </w:rPr>
        <w:t xml:space="preserve"> in line with</w:t>
      </w:r>
      <w:r w:rsidR="00AF60C1">
        <w:rPr>
          <w:rFonts w:ascii="&amp;quot" w:eastAsia="Times New Roman" w:hAnsi="&amp;quot" w:cs="Times New Roman"/>
          <w:color w:val="222222"/>
          <w:lang w:eastAsia="en-GB"/>
        </w:rPr>
        <w:t xml:space="preserve"> UK</w:t>
      </w:r>
      <w:r w:rsidRPr="00605E9B">
        <w:rPr>
          <w:rFonts w:ascii="&amp;quot" w:eastAsia="Times New Roman" w:hAnsi="&amp;quot" w:cs="Times New Roman"/>
          <w:color w:val="222222"/>
          <w:lang w:eastAsia="en-GB"/>
        </w:rPr>
        <w:t xml:space="preserve"> </w:t>
      </w:r>
      <w:r w:rsidR="0067179E">
        <w:rPr>
          <w:rFonts w:ascii="&amp;quot" w:eastAsia="Times New Roman" w:hAnsi="&amp;quot" w:cs="Times New Roman"/>
          <w:color w:val="222222"/>
          <w:lang w:eastAsia="en-GB"/>
        </w:rPr>
        <w:t>G</w:t>
      </w:r>
      <w:r w:rsidRPr="00605E9B">
        <w:rPr>
          <w:rFonts w:ascii="&amp;quot" w:eastAsia="Times New Roman" w:hAnsi="&amp;quot" w:cs="Times New Roman"/>
          <w:color w:val="222222"/>
          <w:lang w:eastAsia="en-GB"/>
        </w:rPr>
        <w:t>overnment guidance.</w:t>
      </w:r>
    </w:p>
    <w:p w14:paraId="57A26FD2" w14:textId="064B152A" w:rsidR="00A72925" w:rsidRPr="00605E9B" w:rsidRDefault="00A72925" w:rsidP="00A72925">
      <w:pPr>
        <w:spacing w:after="240" w:line="431" w:lineRule="atLeast"/>
        <w:rPr>
          <w:rFonts w:ascii="&amp;quot" w:eastAsia="Times New Roman" w:hAnsi="&amp;quot" w:cs="Times New Roman"/>
          <w:color w:val="222222"/>
          <w:lang w:eastAsia="en-GB"/>
        </w:rPr>
      </w:pPr>
      <w:r w:rsidRPr="00605E9B">
        <w:rPr>
          <w:rFonts w:ascii="&amp;quot" w:eastAsia="Times New Roman" w:hAnsi="&amp;quot" w:cs="Times New Roman"/>
          <w:color w:val="222222"/>
          <w:lang w:eastAsia="en-GB"/>
        </w:rPr>
        <w:t xml:space="preserve">This accompanies the pan-industry guidance: </w:t>
      </w:r>
      <w:hyperlink r:id="rId8" w:history="1">
        <w:r w:rsidRPr="00605E9B">
          <w:rPr>
            <w:rFonts w:ascii="&amp;quot" w:eastAsia="Times New Roman" w:hAnsi="&amp;quot" w:cs="Times New Roman"/>
            <w:i/>
            <w:iCs/>
            <w:color w:val="0C827D"/>
            <w:lang w:eastAsia="en-GB"/>
          </w:rPr>
          <w:t>Re-opening the Home Moving Market Safely</w:t>
        </w:r>
      </w:hyperlink>
      <w:r w:rsidRPr="00605E9B">
        <w:rPr>
          <w:rFonts w:ascii="&amp;quot" w:eastAsia="Times New Roman" w:hAnsi="&amp;quot" w:cs="Times New Roman"/>
          <w:color w:val="222222"/>
          <w:lang w:eastAsia="en-GB"/>
        </w:rPr>
        <w:t xml:space="preserve"> and the related </w:t>
      </w:r>
      <w:hyperlink r:id="rId9" w:tgtFrame="_blank" w:tooltip="Government advice on home moving during the coronavirus (COVID-19) outbreak" w:history="1">
        <w:r w:rsidR="0067179E">
          <w:rPr>
            <w:rFonts w:ascii="&amp;quot" w:eastAsia="Times New Roman" w:hAnsi="&amp;quot" w:cs="Times New Roman"/>
            <w:color w:val="0C827D"/>
            <w:lang w:eastAsia="en-GB"/>
          </w:rPr>
          <w:t>G</w:t>
        </w:r>
        <w:r w:rsidRPr="00605E9B">
          <w:rPr>
            <w:rFonts w:ascii="&amp;quot" w:eastAsia="Times New Roman" w:hAnsi="&amp;quot" w:cs="Times New Roman"/>
            <w:color w:val="0C827D"/>
            <w:lang w:eastAsia="en-GB"/>
          </w:rPr>
          <w:t>overnment guidance</w:t>
        </w:r>
      </w:hyperlink>
      <w:r w:rsidRPr="00605E9B">
        <w:rPr>
          <w:rFonts w:ascii="&amp;quot" w:eastAsia="Times New Roman" w:hAnsi="&amp;quot" w:cs="Times New Roman"/>
          <w:color w:val="222222"/>
          <w:lang w:eastAsia="en-GB"/>
        </w:rPr>
        <w:t xml:space="preserve">. </w:t>
      </w:r>
      <w:r w:rsidR="00F46A65" w:rsidRPr="00605E9B">
        <w:rPr>
          <w:rFonts w:ascii="&amp;quot" w:eastAsia="Times New Roman" w:hAnsi="&amp;quot" w:cs="Times New Roman"/>
          <w:color w:val="222222"/>
          <w:lang w:eastAsia="en-GB"/>
        </w:rPr>
        <w:t xml:space="preserve">The latest changes to Government restrictions include </w:t>
      </w:r>
      <w:r w:rsidR="00F46A65" w:rsidRPr="00605E9B">
        <w:rPr>
          <w:rFonts w:ascii="&amp;quot" w:hAnsi="&amp;quot" w:cs="Arial"/>
          <w:color w:val="222222"/>
          <w:shd w:val="clear" w:color="auto" w:fill="FFFFFF"/>
        </w:rPr>
        <w:t xml:space="preserve">the creation of new </w:t>
      </w:r>
      <w:r w:rsidR="00BA181B">
        <w:rPr>
          <w:rFonts w:ascii="&amp;quot" w:hAnsi="&amp;quot" w:cs="Arial"/>
          <w:color w:val="222222"/>
          <w:shd w:val="clear" w:color="auto" w:fill="FFFFFF"/>
        </w:rPr>
        <w:t>tiers</w:t>
      </w:r>
      <w:r w:rsidR="00F46A65" w:rsidRPr="00605E9B">
        <w:rPr>
          <w:rFonts w:ascii="&amp;quot" w:hAnsi="&amp;quot" w:cs="Arial"/>
          <w:color w:val="222222"/>
          <w:shd w:val="clear" w:color="auto" w:fill="FFFFFF"/>
        </w:rPr>
        <w:t>. </w:t>
      </w:r>
    </w:p>
    <w:p w14:paraId="0DA8C1FB" w14:textId="77777777" w:rsidR="00A72925" w:rsidRPr="00605E9B" w:rsidRDefault="00A72925" w:rsidP="00A72925">
      <w:pPr>
        <w:spacing w:after="240" w:line="431" w:lineRule="atLeast"/>
        <w:rPr>
          <w:rFonts w:ascii="&amp;quot" w:eastAsia="Times New Roman" w:hAnsi="&amp;quot" w:cs="Times New Roman"/>
          <w:color w:val="222222"/>
          <w:lang w:eastAsia="en-GB"/>
        </w:rPr>
      </w:pPr>
      <w:r w:rsidRPr="00605E9B">
        <w:rPr>
          <w:rFonts w:ascii="&amp;quot" w:eastAsia="Times New Roman" w:hAnsi="&amp;quot" w:cs="Times New Roman"/>
          <w:color w:val="222222"/>
          <w:lang w:eastAsia="en-GB"/>
        </w:rPr>
        <w:t>This document has been developed collaboratively by the residential conveyancing sector and their professional and membership organisations.</w:t>
      </w:r>
    </w:p>
    <w:p w14:paraId="1E2662DF" w14:textId="4C464BD5" w:rsidR="00A72925" w:rsidRPr="00605E9B" w:rsidRDefault="00A72925" w:rsidP="00A72925">
      <w:pPr>
        <w:spacing w:after="240" w:line="431" w:lineRule="atLeast"/>
        <w:rPr>
          <w:rFonts w:ascii="&amp;quot" w:eastAsia="Times New Roman" w:hAnsi="&amp;quot" w:cs="Times New Roman"/>
          <w:color w:val="222222"/>
          <w:lang w:eastAsia="en-GB"/>
        </w:rPr>
      </w:pPr>
      <w:r w:rsidRPr="00605E9B">
        <w:rPr>
          <w:rFonts w:ascii="&amp;quot" w:eastAsia="Times New Roman" w:hAnsi="&amp;quot" w:cs="Times New Roman"/>
          <w:color w:val="222222"/>
          <w:lang w:eastAsia="en-GB"/>
        </w:rPr>
        <w:t xml:space="preserve">This guidance is applicable to both England and Wales, but the regulations and guidance relating to the re-opening of the market issued by the  </w:t>
      </w:r>
      <w:r w:rsidR="00AF60C1">
        <w:rPr>
          <w:rFonts w:ascii="&amp;quot" w:eastAsia="Times New Roman" w:hAnsi="&amp;quot" w:cs="Times New Roman"/>
          <w:color w:val="222222"/>
          <w:lang w:eastAsia="en-GB"/>
        </w:rPr>
        <w:t>G</w:t>
      </w:r>
      <w:r w:rsidRPr="00605E9B">
        <w:rPr>
          <w:rFonts w:ascii="&amp;quot" w:eastAsia="Times New Roman" w:hAnsi="&amp;quot" w:cs="Times New Roman"/>
          <w:color w:val="222222"/>
          <w:lang w:eastAsia="en-GB"/>
        </w:rPr>
        <w:t>overnment and referred to in this guidance apply only in England.</w:t>
      </w:r>
    </w:p>
    <w:p w14:paraId="41ABD0B1" w14:textId="77777777" w:rsidR="00A72925" w:rsidRPr="00605E9B" w:rsidRDefault="00A72925" w:rsidP="00A72925">
      <w:pPr>
        <w:spacing w:after="240" w:line="431" w:lineRule="atLeast"/>
        <w:rPr>
          <w:rFonts w:ascii="&amp;quot" w:eastAsia="Times New Roman" w:hAnsi="&amp;quot" w:cs="Times New Roman"/>
          <w:color w:val="222222"/>
          <w:lang w:eastAsia="en-GB"/>
        </w:rPr>
      </w:pPr>
      <w:r w:rsidRPr="00605E9B">
        <w:rPr>
          <w:rFonts w:ascii="&amp;quot" w:eastAsia="Times New Roman" w:hAnsi="&amp;quot" w:cs="Times New Roman"/>
          <w:color w:val="222222"/>
          <w:lang w:eastAsia="en-GB"/>
        </w:rPr>
        <w:t>The regulations and guidance currently applicable to Wales relating to the housing market are set out in section 10.</w:t>
      </w:r>
    </w:p>
    <w:p w14:paraId="7771DB4F" w14:textId="77777777" w:rsidR="00A72925" w:rsidRPr="00A72925" w:rsidRDefault="00A72925" w:rsidP="00A72925">
      <w:pPr>
        <w:spacing w:after="240" w:line="431" w:lineRule="atLeast"/>
        <w:rPr>
          <w:rFonts w:ascii="&amp;quot" w:eastAsia="Times New Roman" w:hAnsi="&amp;quot" w:cs="Times New Roman"/>
          <w:color w:val="222222"/>
          <w:lang w:eastAsia="en-GB"/>
        </w:rPr>
      </w:pPr>
      <w:r w:rsidRPr="00A72925">
        <w:rPr>
          <w:rFonts w:ascii="&amp;quot" w:eastAsia="Times New Roman" w:hAnsi="&amp;quot" w:cs="Times New Roman"/>
          <w:color w:val="222222"/>
          <w:lang w:eastAsia="en-GB"/>
        </w:rPr>
        <w:t>This guidance applies to owner-occupied homes and to second hand, rather than new-build, homes.</w:t>
      </w:r>
    </w:p>
    <w:p w14:paraId="661726FF" w14:textId="1CEC0009" w:rsidR="00640E5F" w:rsidRDefault="00640E5F" w:rsidP="00640E5F">
      <w:pPr>
        <w:pStyle w:val="Default"/>
        <w:rPr>
          <w:sz w:val="18"/>
          <w:szCs w:val="18"/>
        </w:rPr>
      </w:pPr>
    </w:p>
    <w:p w14:paraId="24CA1CEF" w14:textId="77777777" w:rsidR="005A10F7" w:rsidRDefault="005A10F7" w:rsidP="00640E5F">
      <w:pPr>
        <w:pStyle w:val="Default"/>
        <w:rPr>
          <w:sz w:val="18"/>
          <w:szCs w:val="18"/>
        </w:rPr>
      </w:pPr>
    </w:p>
    <w:p w14:paraId="2CCBEA39" w14:textId="77777777" w:rsidR="005A10F7" w:rsidRDefault="00640E5F" w:rsidP="00640E5F">
      <w:pPr>
        <w:pStyle w:val="Default"/>
        <w:rPr>
          <w:sz w:val="48"/>
          <w:szCs w:val="48"/>
        </w:rPr>
      </w:pPr>
      <w:r>
        <w:rPr>
          <w:sz w:val="48"/>
          <w:szCs w:val="48"/>
        </w:rPr>
        <w:t>Sector-specific guidance: Conveyancers</w:t>
      </w:r>
    </w:p>
    <w:p w14:paraId="213FE85E" w14:textId="78C4B11F" w:rsidR="00640E5F" w:rsidRDefault="00640E5F" w:rsidP="00640E5F">
      <w:pPr>
        <w:pStyle w:val="Default"/>
        <w:rPr>
          <w:sz w:val="48"/>
          <w:szCs w:val="48"/>
        </w:rPr>
      </w:pPr>
      <w:r>
        <w:rPr>
          <w:sz w:val="48"/>
          <w:szCs w:val="48"/>
        </w:rPr>
        <w:t xml:space="preserve"> </w:t>
      </w:r>
    </w:p>
    <w:p w14:paraId="2BC22EEC" w14:textId="25E55F34" w:rsidR="00640E5F" w:rsidRDefault="00640E5F" w:rsidP="00640E5F">
      <w:pPr>
        <w:pStyle w:val="Default"/>
        <w:rPr>
          <w:sz w:val="22"/>
          <w:szCs w:val="22"/>
        </w:rPr>
      </w:pPr>
      <w:r>
        <w:rPr>
          <w:b/>
          <w:bCs/>
          <w:sz w:val="22"/>
          <w:szCs w:val="22"/>
        </w:rPr>
        <w:t xml:space="preserve">‘Conveyancers’ </w:t>
      </w:r>
      <w:r>
        <w:rPr>
          <w:sz w:val="22"/>
          <w:szCs w:val="22"/>
        </w:rPr>
        <w:t xml:space="preserve">are legal executives, licensed conveyancers and solicitors. </w:t>
      </w:r>
    </w:p>
    <w:p w14:paraId="6B822734" w14:textId="77777777" w:rsidR="005A10F7" w:rsidRDefault="005A10F7" w:rsidP="00640E5F">
      <w:pPr>
        <w:pStyle w:val="Default"/>
        <w:rPr>
          <w:sz w:val="22"/>
          <w:szCs w:val="22"/>
        </w:rPr>
      </w:pPr>
    </w:p>
    <w:p w14:paraId="538EE63B" w14:textId="3FD804AB" w:rsidR="00640E5F" w:rsidRDefault="00640E5F" w:rsidP="00640E5F">
      <w:pPr>
        <w:pStyle w:val="Default"/>
        <w:rPr>
          <w:sz w:val="22"/>
          <w:szCs w:val="22"/>
        </w:rPr>
      </w:pPr>
      <w:r>
        <w:rPr>
          <w:sz w:val="22"/>
          <w:szCs w:val="22"/>
        </w:rPr>
        <w:t xml:space="preserve">This sector-specific guidance accompanies the pan-industry guidance: </w:t>
      </w:r>
      <w:r>
        <w:rPr>
          <w:i/>
          <w:iCs/>
          <w:sz w:val="22"/>
          <w:szCs w:val="22"/>
        </w:rPr>
        <w:t xml:space="preserve">Re-opening the Home Moving Market Safely </w:t>
      </w:r>
      <w:r>
        <w:rPr>
          <w:sz w:val="22"/>
          <w:szCs w:val="22"/>
        </w:rPr>
        <w:t xml:space="preserve">and the related </w:t>
      </w:r>
      <w:r w:rsidR="00AF60C1">
        <w:rPr>
          <w:sz w:val="22"/>
          <w:szCs w:val="22"/>
        </w:rPr>
        <w:t>G</w:t>
      </w:r>
      <w:r>
        <w:rPr>
          <w:sz w:val="22"/>
          <w:szCs w:val="22"/>
        </w:rPr>
        <w:t xml:space="preserve">overnment guidance. </w:t>
      </w:r>
    </w:p>
    <w:p w14:paraId="3DABA6D4" w14:textId="77777777" w:rsidR="00123F49" w:rsidRDefault="00123F49" w:rsidP="00640E5F">
      <w:pPr>
        <w:pStyle w:val="Default"/>
        <w:rPr>
          <w:sz w:val="22"/>
          <w:szCs w:val="22"/>
        </w:rPr>
      </w:pPr>
    </w:p>
    <w:p w14:paraId="2C233EC0" w14:textId="5D37E93D" w:rsidR="00640E5F" w:rsidRDefault="00640E5F" w:rsidP="00640E5F">
      <w:pPr>
        <w:pStyle w:val="Default"/>
        <w:rPr>
          <w:sz w:val="22"/>
          <w:szCs w:val="22"/>
        </w:rPr>
      </w:pPr>
      <w:r>
        <w:rPr>
          <w:sz w:val="22"/>
          <w:szCs w:val="22"/>
        </w:rPr>
        <w:lastRenderedPageBreak/>
        <w:t xml:space="preserve">This guidance is applicable to both England and Wales, but the regulations and guidance relating to the re-opening of the market issued by the UK </w:t>
      </w:r>
      <w:r w:rsidR="00AF60C1">
        <w:rPr>
          <w:sz w:val="22"/>
          <w:szCs w:val="22"/>
        </w:rPr>
        <w:t>G</w:t>
      </w:r>
      <w:r>
        <w:rPr>
          <w:sz w:val="22"/>
          <w:szCs w:val="22"/>
        </w:rPr>
        <w:t xml:space="preserve">overnment and referred to in this guidance apply only in England. </w:t>
      </w:r>
    </w:p>
    <w:p w14:paraId="178DBC7C" w14:textId="77777777" w:rsidR="00103C18" w:rsidRDefault="00103C18" w:rsidP="00640E5F">
      <w:pPr>
        <w:pStyle w:val="Default"/>
        <w:rPr>
          <w:sz w:val="22"/>
          <w:szCs w:val="22"/>
        </w:rPr>
      </w:pPr>
    </w:p>
    <w:p w14:paraId="5F2B1301" w14:textId="3384A036" w:rsidR="00640E5F" w:rsidRDefault="00640E5F" w:rsidP="00640E5F">
      <w:pPr>
        <w:pStyle w:val="Default"/>
        <w:rPr>
          <w:sz w:val="22"/>
          <w:szCs w:val="22"/>
        </w:rPr>
      </w:pPr>
      <w:r>
        <w:rPr>
          <w:sz w:val="22"/>
          <w:szCs w:val="22"/>
        </w:rPr>
        <w:t xml:space="preserve">The regulations and guidance currently applicable to Wales relating to the housing market are set out in section 10 below. </w:t>
      </w:r>
    </w:p>
    <w:p w14:paraId="0203162E" w14:textId="77777777" w:rsidR="00103C18" w:rsidRDefault="00103C18" w:rsidP="00640E5F">
      <w:pPr>
        <w:pStyle w:val="Default"/>
        <w:rPr>
          <w:sz w:val="22"/>
          <w:szCs w:val="22"/>
        </w:rPr>
      </w:pPr>
    </w:p>
    <w:p w14:paraId="1285039A" w14:textId="4B769F07" w:rsidR="00640E5F" w:rsidRDefault="00640E5F" w:rsidP="00640E5F">
      <w:pPr>
        <w:pStyle w:val="Default"/>
        <w:rPr>
          <w:sz w:val="22"/>
          <w:szCs w:val="22"/>
        </w:rPr>
      </w:pPr>
      <w:r>
        <w:rPr>
          <w:sz w:val="22"/>
          <w:szCs w:val="22"/>
        </w:rPr>
        <w:t xml:space="preserve">This guidance applies to owner-occupied homes and to second hand, rather than new-build, homes. </w:t>
      </w:r>
    </w:p>
    <w:p w14:paraId="20BFB1DA" w14:textId="499A3590" w:rsidR="00103C18" w:rsidRDefault="00103C18" w:rsidP="00640E5F">
      <w:pPr>
        <w:pStyle w:val="Default"/>
        <w:rPr>
          <w:sz w:val="22"/>
          <w:szCs w:val="22"/>
        </w:rPr>
      </w:pPr>
    </w:p>
    <w:p w14:paraId="3C05B106" w14:textId="77777777" w:rsidR="00CE1604" w:rsidRDefault="00CE1604" w:rsidP="00640E5F">
      <w:pPr>
        <w:pStyle w:val="Default"/>
        <w:rPr>
          <w:sz w:val="22"/>
          <w:szCs w:val="22"/>
        </w:rPr>
      </w:pPr>
    </w:p>
    <w:p w14:paraId="07031AC4" w14:textId="2E356841" w:rsidR="00103C18" w:rsidRPr="003642C9" w:rsidRDefault="00640E5F" w:rsidP="00640E5F">
      <w:pPr>
        <w:pStyle w:val="Default"/>
        <w:rPr>
          <w:rFonts w:ascii="Calibri Light" w:hAnsi="Calibri Light" w:cs="Calibri Light"/>
          <w:sz w:val="32"/>
          <w:szCs w:val="32"/>
        </w:rPr>
      </w:pPr>
      <w:r>
        <w:rPr>
          <w:rFonts w:ascii="Calibri Light" w:hAnsi="Calibri Light" w:cs="Calibri Light"/>
          <w:sz w:val="32"/>
          <w:szCs w:val="32"/>
        </w:rPr>
        <w:t xml:space="preserve">Introduction </w:t>
      </w:r>
    </w:p>
    <w:p w14:paraId="50760630" w14:textId="06A2F1EA" w:rsidR="00461557" w:rsidRPr="00BE52C6" w:rsidRDefault="00640E5F" w:rsidP="00E31225">
      <w:pPr>
        <w:shd w:val="clear" w:color="auto" w:fill="FFFFFF"/>
        <w:spacing w:before="100" w:beforeAutospacing="1" w:after="100" w:afterAutospacing="1" w:line="240" w:lineRule="auto"/>
        <w:rPr>
          <w:rFonts w:ascii="Arial" w:hAnsi="Arial" w:cs="Arial"/>
        </w:rPr>
      </w:pPr>
      <w:r w:rsidRPr="009F7535">
        <w:rPr>
          <w:rFonts w:ascii="Arial" w:hAnsi="Arial" w:cs="Arial"/>
        </w:rPr>
        <w:t xml:space="preserve">Coronavirus (COVID-19) </w:t>
      </w:r>
      <w:r w:rsidR="00E162AC">
        <w:rPr>
          <w:rFonts w:ascii="Arial" w:hAnsi="Arial" w:cs="Arial"/>
        </w:rPr>
        <w:t>continues to have</w:t>
      </w:r>
      <w:r w:rsidRPr="009F7535">
        <w:rPr>
          <w:rFonts w:ascii="Arial" w:hAnsi="Arial" w:cs="Arial"/>
        </w:rPr>
        <w:t xml:space="preserve"> an impact</w:t>
      </w:r>
      <w:r w:rsidRPr="00BE52C6">
        <w:rPr>
          <w:rFonts w:ascii="Arial" w:hAnsi="Arial" w:cs="Arial"/>
        </w:rPr>
        <w:t xml:space="preserve"> across the home moving industry. </w:t>
      </w:r>
      <w:r w:rsidR="009F7535" w:rsidRPr="00BE52C6">
        <w:rPr>
          <w:rFonts w:ascii="Arial" w:hAnsi="Arial" w:cs="Arial"/>
        </w:rPr>
        <w:t xml:space="preserve">Buyers and sellers will find the process very different from the way it was before the </w:t>
      </w:r>
      <w:r w:rsidR="0076505F" w:rsidRPr="00BE52C6">
        <w:rPr>
          <w:rFonts w:ascii="Arial" w:hAnsi="Arial" w:cs="Arial"/>
        </w:rPr>
        <w:t>pandemic started</w:t>
      </w:r>
      <w:r w:rsidR="009F7535" w:rsidRPr="00BE52C6">
        <w:rPr>
          <w:rFonts w:ascii="Arial" w:hAnsi="Arial" w:cs="Arial"/>
        </w:rPr>
        <w:t>. They may need support to help them understand the continuing changes to the buying and selling process</w:t>
      </w:r>
      <w:r w:rsidR="00E9465A" w:rsidRPr="00BE52C6">
        <w:rPr>
          <w:rFonts w:ascii="Arial" w:hAnsi="Arial" w:cs="Arial"/>
        </w:rPr>
        <w:t>.</w:t>
      </w:r>
    </w:p>
    <w:p w14:paraId="69A30B95" w14:textId="337AFAE8" w:rsidR="003A05F0" w:rsidRPr="00BE52C6" w:rsidRDefault="00492107" w:rsidP="00640E5F">
      <w:pPr>
        <w:pStyle w:val="Default"/>
        <w:rPr>
          <w:sz w:val="22"/>
          <w:szCs w:val="22"/>
        </w:rPr>
      </w:pPr>
      <w:r>
        <w:rPr>
          <w:sz w:val="22"/>
          <w:szCs w:val="22"/>
        </w:rPr>
        <w:t>The</w:t>
      </w:r>
      <w:r w:rsidR="00EE4C8B" w:rsidRPr="00BE52C6">
        <w:rPr>
          <w:sz w:val="22"/>
          <w:szCs w:val="22"/>
        </w:rPr>
        <w:t xml:space="preserve"> housing market is to stay open, but Government can revoke this if necessary</w:t>
      </w:r>
      <w:r w:rsidR="00D007A8" w:rsidRPr="00BE52C6">
        <w:rPr>
          <w:color w:val="0B0C0C"/>
          <w:sz w:val="22"/>
          <w:szCs w:val="22"/>
          <w:shd w:val="clear" w:color="auto" w:fill="FFFFFF"/>
        </w:rPr>
        <w:t xml:space="preserve">. </w:t>
      </w:r>
      <w:r w:rsidR="00BE1BAE" w:rsidRPr="00BE52C6">
        <w:rPr>
          <w:color w:val="0B0C0C"/>
          <w:sz w:val="22"/>
          <w:szCs w:val="22"/>
          <w:shd w:val="clear" w:color="auto" w:fill="FFFFFF"/>
        </w:rPr>
        <w:t xml:space="preserve">Government </w:t>
      </w:r>
      <w:r w:rsidR="00525721">
        <w:rPr>
          <w:color w:val="0B0C0C"/>
          <w:sz w:val="22"/>
          <w:szCs w:val="22"/>
          <w:shd w:val="clear" w:color="auto" w:fill="FFFFFF"/>
        </w:rPr>
        <w:t>appears to have</w:t>
      </w:r>
      <w:r w:rsidR="00BE1BAE" w:rsidRPr="00BE52C6">
        <w:rPr>
          <w:color w:val="0B0C0C"/>
          <w:sz w:val="22"/>
          <w:szCs w:val="22"/>
          <w:shd w:val="clear" w:color="auto" w:fill="FFFFFF"/>
        </w:rPr>
        <w:t xml:space="preserve"> no </w:t>
      </w:r>
      <w:r w:rsidR="00BE1BAE" w:rsidRPr="00BE52C6">
        <w:rPr>
          <w:sz w:val="22"/>
          <w:szCs w:val="22"/>
          <w:lang w:eastAsia="en-GB"/>
        </w:rPr>
        <w:t>plan</w:t>
      </w:r>
      <w:r w:rsidR="002B2300">
        <w:rPr>
          <w:sz w:val="22"/>
          <w:szCs w:val="22"/>
          <w:lang w:eastAsia="en-GB"/>
        </w:rPr>
        <w:t>s</w:t>
      </w:r>
      <w:r w:rsidR="00BE1BAE" w:rsidRPr="00BE52C6">
        <w:rPr>
          <w:sz w:val="22"/>
          <w:szCs w:val="22"/>
          <w:lang w:eastAsia="en-GB"/>
        </w:rPr>
        <w:t xml:space="preserve"> to tighten restrictions at this stage, so long as </w:t>
      </w:r>
      <w:r w:rsidR="00B307D5">
        <w:rPr>
          <w:sz w:val="22"/>
          <w:szCs w:val="22"/>
          <w:lang w:eastAsia="en-GB"/>
        </w:rPr>
        <w:t xml:space="preserve">people adhere to the </w:t>
      </w:r>
      <w:r w:rsidR="00BE1BAE" w:rsidRPr="00BE52C6">
        <w:rPr>
          <w:sz w:val="22"/>
          <w:szCs w:val="22"/>
          <w:lang w:eastAsia="en-GB"/>
        </w:rPr>
        <w:t xml:space="preserve">safe moving guidance. </w:t>
      </w:r>
      <w:r w:rsidR="005A5FB9">
        <w:rPr>
          <w:sz w:val="22"/>
          <w:szCs w:val="22"/>
          <w:lang w:eastAsia="en-GB"/>
        </w:rPr>
        <w:t>G</w:t>
      </w:r>
      <w:r w:rsidR="00615F36" w:rsidRPr="00BE52C6">
        <w:rPr>
          <w:color w:val="0B0C0C"/>
          <w:sz w:val="22"/>
          <w:szCs w:val="22"/>
          <w:shd w:val="clear" w:color="auto" w:fill="FFFFFF"/>
        </w:rPr>
        <w:t>overnment say “</w:t>
      </w:r>
      <w:r w:rsidR="000F2BCB">
        <w:rPr>
          <w:color w:val="0B0C0C"/>
          <w:sz w:val="22"/>
          <w:szCs w:val="22"/>
          <w:shd w:val="clear" w:color="auto" w:fill="FFFFFF"/>
        </w:rPr>
        <w:t>t</w:t>
      </w:r>
      <w:r w:rsidR="009D4365" w:rsidRPr="00BE52C6">
        <w:rPr>
          <w:color w:val="0B0C0C"/>
          <w:sz w:val="22"/>
          <w:szCs w:val="22"/>
          <w:shd w:val="clear" w:color="auto" w:fill="FFFFFF"/>
        </w:rPr>
        <w:t>he housing market in England will remain open during this national lockdown. This means that people looking to move home will be able to both continue with planned moves and view new properties to move into in the future. Estate and lettings agents, removers, valuers and people in sales and lettings offices and show homes will be able to continue working</w:t>
      </w:r>
      <w:r w:rsidR="00615F36" w:rsidRPr="00BE52C6">
        <w:rPr>
          <w:color w:val="0B0C0C"/>
          <w:sz w:val="22"/>
          <w:szCs w:val="22"/>
          <w:shd w:val="clear" w:color="auto" w:fill="FFFFFF"/>
        </w:rPr>
        <w:t>”</w:t>
      </w:r>
      <w:r w:rsidR="00D007A8" w:rsidRPr="00BE52C6">
        <w:rPr>
          <w:color w:val="0B0C0C"/>
          <w:sz w:val="22"/>
          <w:szCs w:val="22"/>
          <w:shd w:val="clear" w:color="auto" w:fill="FFFFFF"/>
        </w:rPr>
        <w:t>.</w:t>
      </w:r>
      <w:r w:rsidR="00FD0248" w:rsidRPr="00BE52C6">
        <w:rPr>
          <w:color w:val="0B0C0C"/>
          <w:sz w:val="22"/>
          <w:szCs w:val="22"/>
          <w:shd w:val="clear" w:color="auto" w:fill="FFFFFF"/>
        </w:rPr>
        <w:t xml:space="preserve"> </w:t>
      </w:r>
      <w:r w:rsidR="00FD0248" w:rsidRPr="00BE52C6">
        <w:rPr>
          <w:rFonts w:eastAsia="Times New Roman"/>
          <w:color w:val="222222"/>
          <w:sz w:val="22"/>
          <w:szCs w:val="22"/>
          <w:lang w:eastAsia="en-GB"/>
        </w:rPr>
        <w:t>Everyone who can work from home should do so</w:t>
      </w:r>
      <w:r w:rsidR="003A05F0" w:rsidRPr="00BE52C6">
        <w:rPr>
          <w:rFonts w:eastAsia="Times New Roman"/>
          <w:color w:val="222222"/>
          <w:sz w:val="22"/>
          <w:szCs w:val="22"/>
          <w:lang w:eastAsia="en-GB"/>
        </w:rPr>
        <w:t>,</w:t>
      </w:r>
      <w:r w:rsidR="00FD0248" w:rsidRPr="00BE52C6">
        <w:rPr>
          <w:rFonts w:eastAsia="Times New Roman"/>
          <w:color w:val="222222"/>
          <w:sz w:val="22"/>
          <w:szCs w:val="22"/>
          <w:lang w:eastAsia="en-GB"/>
        </w:rPr>
        <w:t xml:space="preserve"> but law </w:t>
      </w:r>
      <w:r w:rsidR="00FD0248" w:rsidRPr="00BE52C6">
        <w:rPr>
          <w:color w:val="222222"/>
          <w:sz w:val="22"/>
          <w:szCs w:val="22"/>
          <w:shd w:val="clear" w:color="auto" w:fill="FFFFFF"/>
        </w:rPr>
        <w:t>firms can remain open, provided they’re COVID secure</w:t>
      </w:r>
      <w:r w:rsidR="00224E39">
        <w:rPr>
          <w:color w:val="222222"/>
          <w:sz w:val="22"/>
          <w:szCs w:val="22"/>
          <w:shd w:val="clear" w:color="auto" w:fill="FFFFFF"/>
        </w:rPr>
        <w:t>.</w:t>
      </w:r>
    </w:p>
    <w:p w14:paraId="35C9CC42" w14:textId="6FC8DFA3" w:rsidR="003A05F0" w:rsidRPr="00BE52C6" w:rsidRDefault="003A05F0" w:rsidP="00640E5F">
      <w:pPr>
        <w:pStyle w:val="Default"/>
        <w:rPr>
          <w:color w:val="auto"/>
          <w:sz w:val="22"/>
          <w:szCs w:val="22"/>
        </w:rPr>
      </w:pPr>
    </w:p>
    <w:p w14:paraId="0838676E" w14:textId="3FAB780B" w:rsidR="004B7652" w:rsidRPr="00B83085" w:rsidRDefault="00EE4C8B" w:rsidP="00640E5F">
      <w:pPr>
        <w:pStyle w:val="Default"/>
        <w:rPr>
          <w:color w:val="auto"/>
          <w:sz w:val="22"/>
          <w:szCs w:val="22"/>
        </w:rPr>
      </w:pPr>
      <w:r w:rsidRPr="00BE52C6">
        <w:rPr>
          <w:color w:val="auto"/>
          <w:sz w:val="22"/>
          <w:szCs w:val="22"/>
        </w:rPr>
        <w:t>For the time being,</w:t>
      </w:r>
      <w:r w:rsidR="00497379" w:rsidRPr="00BE52C6">
        <w:rPr>
          <w:color w:val="auto"/>
          <w:sz w:val="22"/>
          <w:szCs w:val="22"/>
        </w:rPr>
        <w:t xml:space="preserve"> people can continue to move home even where this involves moving to other areas in England to do so</w:t>
      </w:r>
      <w:r w:rsidR="00E25920" w:rsidRPr="00BE52C6">
        <w:rPr>
          <w:color w:val="auto"/>
          <w:sz w:val="22"/>
          <w:szCs w:val="22"/>
        </w:rPr>
        <w:t xml:space="preserve"> – if </w:t>
      </w:r>
      <w:r w:rsidR="00E93DEC" w:rsidRPr="00B83085">
        <w:rPr>
          <w:color w:val="auto"/>
          <w:sz w:val="22"/>
          <w:szCs w:val="22"/>
        </w:rPr>
        <w:t>the move is absolutely necessary and cannot be delayed</w:t>
      </w:r>
      <w:r w:rsidR="00497379" w:rsidRPr="00B83085">
        <w:rPr>
          <w:color w:val="auto"/>
          <w:sz w:val="22"/>
          <w:szCs w:val="22"/>
        </w:rPr>
        <w:t xml:space="preserve">. However, </w:t>
      </w:r>
      <w:r w:rsidR="00497379" w:rsidRPr="00B83085">
        <w:rPr>
          <w:color w:val="auto"/>
          <w:sz w:val="22"/>
          <w:szCs w:val="22"/>
          <w:shd w:val="clear" w:color="auto" w:fill="FFFFFF"/>
        </w:rPr>
        <w:t>people not in a household or support bubble should not help</w:t>
      </w:r>
      <w:r w:rsidR="007D6BBE" w:rsidRPr="00B83085">
        <w:rPr>
          <w:color w:val="auto"/>
          <w:sz w:val="22"/>
          <w:szCs w:val="22"/>
          <w:shd w:val="clear" w:color="auto" w:fill="FFFFFF"/>
        </w:rPr>
        <w:t xml:space="preserve"> someone move house</w:t>
      </w:r>
      <w:r w:rsidR="00497379" w:rsidRPr="00B83085">
        <w:rPr>
          <w:color w:val="auto"/>
          <w:sz w:val="22"/>
          <w:szCs w:val="22"/>
          <w:shd w:val="clear" w:color="auto" w:fill="FFFFFF"/>
        </w:rPr>
        <w:t xml:space="preserve"> unless absolutely necessary.</w:t>
      </w:r>
      <w:r w:rsidR="00903EBA" w:rsidRPr="00B83085">
        <w:rPr>
          <w:color w:val="auto"/>
          <w:sz w:val="22"/>
          <w:szCs w:val="22"/>
          <w:shd w:val="clear" w:color="auto" w:fill="FFFFFF"/>
        </w:rPr>
        <w:t xml:space="preserve"> People can market their homes and estate agents can visit in order to take photos/videos of properties.</w:t>
      </w:r>
    </w:p>
    <w:p w14:paraId="527C3528" w14:textId="77777777" w:rsidR="00EE4C8B" w:rsidRPr="00B83085" w:rsidRDefault="00EE4C8B" w:rsidP="00640E5F">
      <w:pPr>
        <w:pStyle w:val="Default"/>
        <w:rPr>
          <w:color w:val="auto"/>
          <w:sz w:val="22"/>
          <w:szCs w:val="22"/>
        </w:rPr>
      </w:pPr>
    </w:p>
    <w:p w14:paraId="6879D500" w14:textId="2F0033A3" w:rsidR="00640E5F" w:rsidRPr="00903EBA" w:rsidRDefault="003A05F0" w:rsidP="00640E5F">
      <w:pPr>
        <w:pStyle w:val="Default"/>
        <w:rPr>
          <w:sz w:val="22"/>
          <w:szCs w:val="22"/>
        </w:rPr>
      </w:pPr>
      <w:r w:rsidRPr="00B83085">
        <w:rPr>
          <w:color w:val="auto"/>
          <w:sz w:val="22"/>
          <w:szCs w:val="22"/>
        </w:rPr>
        <w:t>Provide</w:t>
      </w:r>
      <w:r w:rsidR="00640E5F" w:rsidRPr="00B83085">
        <w:rPr>
          <w:color w:val="auto"/>
          <w:sz w:val="22"/>
          <w:szCs w:val="22"/>
        </w:rPr>
        <w:t xml:space="preserve"> clients with an electronic copy of, or a link to, the pan-industry consumer guidance if they have not received this from the estate agent or other </w:t>
      </w:r>
      <w:r w:rsidR="00640E5F" w:rsidRPr="00903EBA">
        <w:rPr>
          <w:sz w:val="22"/>
          <w:szCs w:val="22"/>
        </w:rPr>
        <w:t xml:space="preserve">property professional. </w:t>
      </w:r>
    </w:p>
    <w:p w14:paraId="0049D1ED" w14:textId="77777777" w:rsidR="004F2AE1" w:rsidRPr="003A05F0" w:rsidRDefault="004F2AE1" w:rsidP="00640E5F">
      <w:pPr>
        <w:pStyle w:val="Default"/>
        <w:rPr>
          <w:sz w:val="22"/>
          <w:szCs w:val="22"/>
        </w:rPr>
      </w:pPr>
    </w:p>
    <w:p w14:paraId="24ED3DB0" w14:textId="342754A2" w:rsidR="00640E5F" w:rsidRDefault="00640E5F" w:rsidP="00640E5F">
      <w:pPr>
        <w:pStyle w:val="Default"/>
        <w:rPr>
          <w:sz w:val="22"/>
          <w:szCs w:val="22"/>
        </w:rPr>
      </w:pPr>
      <w:r w:rsidRPr="003A05F0">
        <w:rPr>
          <w:sz w:val="22"/>
          <w:szCs w:val="22"/>
        </w:rPr>
        <w:t>Clients may also find it</w:t>
      </w:r>
      <w:r>
        <w:rPr>
          <w:sz w:val="22"/>
          <w:szCs w:val="22"/>
        </w:rPr>
        <w:t xml:space="preserve"> useful to see the general </w:t>
      </w:r>
      <w:r w:rsidR="003B2EE6">
        <w:rPr>
          <w:sz w:val="22"/>
          <w:szCs w:val="22"/>
        </w:rPr>
        <w:t>G</w:t>
      </w:r>
      <w:r>
        <w:rPr>
          <w:sz w:val="22"/>
          <w:szCs w:val="22"/>
        </w:rPr>
        <w:t xml:space="preserve">overnment guidance on how to buy and how to sell. </w:t>
      </w:r>
    </w:p>
    <w:p w14:paraId="49E2664B" w14:textId="77777777" w:rsidR="004F2AE1" w:rsidRDefault="004F2AE1" w:rsidP="00640E5F">
      <w:pPr>
        <w:pStyle w:val="Default"/>
        <w:rPr>
          <w:sz w:val="22"/>
          <w:szCs w:val="22"/>
        </w:rPr>
      </w:pPr>
    </w:p>
    <w:p w14:paraId="3C6456DD" w14:textId="096F3368" w:rsidR="00640E5F" w:rsidRDefault="00640E5F" w:rsidP="00640E5F">
      <w:pPr>
        <w:pStyle w:val="Default"/>
        <w:rPr>
          <w:sz w:val="22"/>
          <w:szCs w:val="22"/>
        </w:rPr>
      </w:pPr>
      <w:r>
        <w:rPr>
          <w:sz w:val="22"/>
          <w:szCs w:val="22"/>
        </w:rPr>
        <w:t xml:space="preserve">The impact of COVID-19 is causing significant uncertainty not only for buyers and sellers but also for conveyancers. </w:t>
      </w:r>
    </w:p>
    <w:p w14:paraId="0A13E072" w14:textId="77777777" w:rsidR="000A7415" w:rsidRDefault="000A7415" w:rsidP="00640E5F">
      <w:pPr>
        <w:pStyle w:val="Default"/>
        <w:rPr>
          <w:sz w:val="22"/>
          <w:szCs w:val="22"/>
        </w:rPr>
      </w:pPr>
    </w:p>
    <w:p w14:paraId="70653286" w14:textId="63E68E49" w:rsidR="00640E5F" w:rsidRDefault="00640E5F" w:rsidP="00640E5F">
      <w:pPr>
        <w:pStyle w:val="Default"/>
        <w:rPr>
          <w:sz w:val="22"/>
          <w:szCs w:val="22"/>
        </w:rPr>
      </w:pPr>
      <w:r>
        <w:rPr>
          <w:sz w:val="22"/>
          <w:szCs w:val="22"/>
        </w:rPr>
        <w:t xml:space="preserve">The position will probably continue to be uncertain for some time as the UK </w:t>
      </w:r>
      <w:r w:rsidR="003B2EE6">
        <w:rPr>
          <w:sz w:val="22"/>
          <w:szCs w:val="22"/>
        </w:rPr>
        <w:t>G</w:t>
      </w:r>
      <w:r>
        <w:rPr>
          <w:sz w:val="22"/>
          <w:szCs w:val="22"/>
        </w:rPr>
        <w:t xml:space="preserve">overnment monitors the effect of the changes it’s introducing and amends its guidance in accordance with the results. </w:t>
      </w:r>
    </w:p>
    <w:p w14:paraId="16CB2315" w14:textId="77777777" w:rsidR="000A7415" w:rsidRDefault="000A7415" w:rsidP="00640E5F">
      <w:pPr>
        <w:pStyle w:val="Default"/>
        <w:rPr>
          <w:sz w:val="22"/>
          <w:szCs w:val="22"/>
        </w:rPr>
      </w:pPr>
    </w:p>
    <w:p w14:paraId="75504180" w14:textId="1EED72A5" w:rsidR="00640E5F" w:rsidRDefault="00640E5F" w:rsidP="00640E5F">
      <w:pPr>
        <w:pStyle w:val="Default"/>
        <w:rPr>
          <w:sz w:val="22"/>
          <w:szCs w:val="22"/>
        </w:rPr>
      </w:pPr>
      <w:r>
        <w:rPr>
          <w:sz w:val="22"/>
          <w:szCs w:val="22"/>
        </w:rPr>
        <w:t xml:space="preserve">The purpose of this sector-specific guidance is to provide conveyancers with information to enable sales and purchases to be carried out while maintaining safety as social distancing measures are eased or increased in line with </w:t>
      </w:r>
      <w:r w:rsidR="003B2EE6">
        <w:rPr>
          <w:sz w:val="22"/>
          <w:szCs w:val="22"/>
        </w:rPr>
        <w:t>G</w:t>
      </w:r>
      <w:r>
        <w:rPr>
          <w:sz w:val="22"/>
          <w:szCs w:val="22"/>
        </w:rPr>
        <w:t xml:space="preserve">overnment guidance. </w:t>
      </w:r>
    </w:p>
    <w:p w14:paraId="44419A49" w14:textId="77777777" w:rsidR="000A7415" w:rsidRDefault="000A7415" w:rsidP="00640E5F">
      <w:pPr>
        <w:pStyle w:val="Default"/>
        <w:rPr>
          <w:sz w:val="22"/>
          <w:szCs w:val="22"/>
        </w:rPr>
      </w:pPr>
    </w:p>
    <w:p w14:paraId="22EDD166" w14:textId="23C8ADE6" w:rsidR="00640E5F" w:rsidRPr="00C71AAF" w:rsidRDefault="00640E5F" w:rsidP="00640E5F">
      <w:pPr>
        <w:pStyle w:val="Default"/>
        <w:rPr>
          <w:sz w:val="22"/>
          <w:szCs w:val="22"/>
        </w:rPr>
      </w:pPr>
      <w:r>
        <w:rPr>
          <w:sz w:val="22"/>
          <w:szCs w:val="22"/>
        </w:rPr>
        <w:t xml:space="preserve">This document has been developed collaboratively by the residential conveyancing sector </w:t>
      </w:r>
      <w:r w:rsidRPr="00C71AAF">
        <w:rPr>
          <w:sz w:val="22"/>
          <w:szCs w:val="22"/>
        </w:rPr>
        <w:t xml:space="preserve">and their professional and membership organisations. </w:t>
      </w:r>
    </w:p>
    <w:p w14:paraId="64C4200D" w14:textId="77777777" w:rsidR="000A7415" w:rsidRPr="00C71AAF" w:rsidRDefault="000A7415" w:rsidP="00640E5F">
      <w:pPr>
        <w:pStyle w:val="Default"/>
        <w:rPr>
          <w:sz w:val="22"/>
          <w:szCs w:val="22"/>
        </w:rPr>
      </w:pPr>
    </w:p>
    <w:p w14:paraId="18870050" w14:textId="1653DB8B" w:rsidR="00640E5F" w:rsidRPr="00C71AAF" w:rsidRDefault="00640E5F" w:rsidP="00640E5F">
      <w:pPr>
        <w:pStyle w:val="Default"/>
        <w:rPr>
          <w:sz w:val="22"/>
          <w:szCs w:val="22"/>
        </w:rPr>
      </w:pPr>
      <w:r w:rsidRPr="00C71AAF">
        <w:rPr>
          <w:sz w:val="22"/>
          <w:szCs w:val="22"/>
        </w:rPr>
        <w:t xml:space="preserve">It expands on the latest </w:t>
      </w:r>
      <w:hyperlink r:id="rId10" w:history="1">
        <w:r w:rsidRPr="00C71AAF">
          <w:rPr>
            <w:rStyle w:val="Hyperlink"/>
            <w:sz w:val="22"/>
            <w:szCs w:val="22"/>
          </w:rPr>
          <w:t xml:space="preserve">UK </w:t>
        </w:r>
        <w:r w:rsidR="002460F9">
          <w:rPr>
            <w:rStyle w:val="Hyperlink"/>
            <w:sz w:val="22"/>
            <w:szCs w:val="22"/>
          </w:rPr>
          <w:t>G</w:t>
        </w:r>
        <w:r w:rsidRPr="00C71AAF">
          <w:rPr>
            <w:rStyle w:val="Hyperlink"/>
            <w:sz w:val="22"/>
            <w:szCs w:val="22"/>
          </w:rPr>
          <w:t>overnment guidance</w:t>
        </w:r>
      </w:hyperlink>
      <w:r w:rsidRPr="00C71AAF">
        <w:rPr>
          <w:sz w:val="22"/>
          <w:szCs w:val="22"/>
        </w:rPr>
        <w:t xml:space="preserve"> which says: </w:t>
      </w:r>
    </w:p>
    <w:p w14:paraId="2C0F8DD7" w14:textId="4C0B1D4B" w:rsidR="00C71AAF" w:rsidRPr="00C71AAF" w:rsidRDefault="00C71AAF" w:rsidP="00C71AAF">
      <w:pPr>
        <w:pStyle w:val="NormalWeb"/>
        <w:shd w:val="clear" w:color="auto" w:fill="FFFFFF"/>
        <w:spacing w:before="300" w:beforeAutospacing="0" w:after="300" w:afterAutospacing="0"/>
        <w:rPr>
          <w:rFonts w:ascii="Arial" w:hAnsi="Arial" w:cs="Arial"/>
          <w:color w:val="0B0C0C"/>
          <w:sz w:val="22"/>
          <w:szCs w:val="22"/>
        </w:rPr>
      </w:pPr>
      <w:r w:rsidRPr="00C71AAF">
        <w:rPr>
          <w:rFonts w:ascii="Arial" w:hAnsi="Arial" w:cs="Arial"/>
          <w:color w:val="0B0C0C"/>
          <w:sz w:val="22"/>
          <w:szCs w:val="22"/>
        </w:rPr>
        <w:lastRenderedPageBreak/>
        <w:t>“Conveyancers can open for business and can take on new instructions. They should make sure their clients are aware of the differences in completing transactions during this period.</w:t>
      </w:r>
    </w:p>
    <w:p w14:paraId="6BC1421A" w14:textId="77777777" w:rsidR="00C71AAF" w:rsidRPr="00C71AAF" w:rsidRDefault="00C71AAF" w:rsidP="00C71AAF">
      <w:pPr>
        <w:pStyle w:val="NormalWeb"/>
        <w:numPr>
          <w:ilvl w:val="0"/>
          <w:numId w:val="10"/>
        </w:numPr>
        <w:shd w:val="clear" w:color="auto" w:fill="FFFFFF"/>
        <w:spacing w:before="0" w:beforeAutospacing="0" w:after="0" w:afterAutospacing="0"/>
        <w:ind w:left="300"/>
        <w:rPr>
          <w:rFonts w:ascii="Arial" w:hAnsi="Arial" w:cs="Arial"/>
          <w:color w:val="0B0C0C"/>
          <w:sz w:val="22"/>
          <w:szCs w:val="22"/>
        </w:rPr>
      </w:pPr>
      <w:r w:rsidRPr="00C71AAF">
        <w:rPr>
          <w:rFonts w:ascii="Arial" w:hAnsi="Arial" w:cs="Arial"/>
          <w:color w:val="0B0C0C"/>
          <w:sz w:val="22"/>
          <w:szCs w:val="22"/>
        </w:rPr>
        <w:t>Conveyancers should aim to conduct as much of their business remotely as possible.</w:t>
      </w:r>
    </w:p>
    <w:p w14:paraId="7011C6D8" w14:textId="77777777" w:rsidR="00C71AAF" w:rsidRPr="00C71AAF" w:rsidRDefault="00C71AAF" w:rsidP="00C71AAF">
      <w:pPr>
        <w:pStyle w:val="NormalWeb"/>
        <w:numPr>
          <w:ilvl w:val="0"/>
          <w:numId w:val="10"/>
        </w:numPr>
        <w:shd w:val="clear" w:color="auto" w:fill="FFFFFF"/>
        <w:spacing w:before="0" w:beforeAutospacing="0" w:after="0" w:afterAutospacing="0"/>
        <w:ind w:left="300"/>
        <w:rPr>
          <w:rFonts w:ascii="Arial" w:hAnsi="Arial" w:cs="Arial"/>
          <w:color w:val="0B0C0C"/>
          <w:sz w:val="22"/>
          <w:szCs w:val="22"/>
        </w:rPr>
      </w:pPr>
      <w:r w:rsidRPr="00C71AAF">
        <w:rPr>
          <w:rFonts w:ascii="Arial" w:hAnsi="Arial" w:cs="Arial"/>
          <w:color w:val="0B0C0C"/>
          <w:sz w:val="22"/>
          <w:szCs w:val="22"/>
        </w:rPr>
        <w:t>Where client meetings need to take place, appropriate social distancing and hygiene measures should be put in place.</w:t>
      </w:r>
    </w:p>
    <w:p w14:paraId="75063FC8" w14:textId="77777777" w:rsidR="00C71AAF" w:rsidRPr="00C71AAF" w:rsidRDefault="00C71AAF" w:rsidP="00C71AAF">
      <w:pPr>
        <w:pStyle w:val="NormalWeb"/>
        <w:numPr>
          <w:ilvl w:val="0"/>
          <w:numId w:val="10"/>
        </w:numPr>
        <w:shd w:val="clear" w:color="auto" w:fill="FFFFFF"/>
        <w:spacing w:before="0" w:beforeAutospacing="0" w:after="0" w:afterAutospacing="0"/>
        <w:ind w:left="300"/>
        <w:rPr>
          <w:rFonts w:ascii="Arial" w:hAnsi="Arial" w:cs="Arial"/>
          <w:color w:val="0B0C0C"/>
          <w:sz w:val="22"/>
          <w:szCs w:val="22"/>
        </w:rPr>
      </w:pPr>
      <w:r w:rsidRPr="00C71AAF">
        <w:rPr>
          <w:rFonts w:ascii="Arial" w:hAnsi="Arial" w:cs="Arial"/>
          <w:color w:val="0B0C0C"/>
          <w:sz w:val="22"/>
          <w:szCs w:val="22"/>
        </w:rPr>
        <w:t>Conveyancers should do what they can to promote flexibility making provisions for the risks presented by coronavirus, for example when advising their clients who are ready to move not to exchange contracts on an occupied property unless they have made explicit provision for the risks presented by the coronavirus.</w:t>
      </w:r>
    </w:p>
    <w:p w14:paraId="0BC9CA7B" w14:textId="1A73E662" w:rsidR="00C71AAF" w:rsidRPr="00C71AAF" w:rsidRDefault="00C71AAF" w:rsidP="00C71AAF">
      <w:pPr>
        <w:pStyle w:val="NormalWeb"/>
        <w:numPr>
          <w:ilvl w:val="0"/>
          <w:numId w:val="10"/>
        </w:numPr>
        <w:shd w:val="clear" w:color="auto" w:fill="FFFFFF"/>
        <w:spacing w:before="0" w:beforeAutospacing="0" w:after="0" w:afterAutospacing="0"/>
        <w:ind w:left="300"/>
        <w:rPr>
          <w:rFonts w:ascii="Arial" w:hAnsi="Arial" w:cs="Arial"/>
          <w:color w:val="0B0C0C"/>
          <w:sz w:val="22"/>
          <w:szCs w:val="22"/>
        </w:rPr>
      </w:pPr>
      <w:r w:rsidRPr="00C71AAF">
        <w:rPr>
          <w:rFonts w:ascii="Arial" w:hAnsi="Arial" w:cs="Arial"/>
          <w:color w:val="0B0C0C"/>
          <w:sz w:val="22"/>
          <w:szCs w:val="22"/>
        </w:rPr>
        <w:t>Conveyancers should prioritise support for anyone who is clinically vulnerable, with symptoms of coronavirus or self-isolating to agree a new date to move”.</w:t>
      </w:r>
    </w:p>
    <w:p w14:paraId="71BA633E" w14:textId="2D42EC3E" w:rsidR="0034478F" w:rsidRDefault="00C71AAF">
      <w:r w:rsidDel="00307947">
        <w:t xml:space="preserve"> </w:t>
      </w:r>
    </w:p>
    <w:p w14:paraId="37C5C4DC" w14:textId="28401D70" w:rsidR="00F524A4" w:rsidRDefault="00932649" w:rsidP="00932649">
      <w:pPr>
        <w:pStyle w:val="Default"/>
        <w:rPr>
          <w:sz w:val="22"/>
          <w:szCs w:val="22"/>
        </w:rPr>
      </w:pPr>
      <w:r>
        <w:rPr>
          <w:sz w:val="22"/>
          <w:szCs w:val="22"/>
        </w:rPr>
        <w:t xml:space="preserve">Be flexible and pragmatic and use common sense to enable buyers and sellers to achieve what they want. Communicate more. </w:t>
      </w:r>
    </w:p>
    <w:p w14:paraId="3EB60982" w14:textId="77777777" w:rsidR="00307947" w:rsidRDefault="00307947" w:rsidP="00932649">
      <w:pPr>
        <w:pStyle w:val="Default"/>
        <w:rPr>
          <w:sz w:val="22"/>
          <w:szCs w:val="22"/>
        </w:rPr>
      </w:pPr>
    </w:p>
    <w:p w14:paraId="02032698" w14:textId="2A1A0E6F" w:rsidR="00D02C40" w:rsidRDefault="00932649" w:rsidP="00932649">
      <w:pPr>
        <w:pStyle w:val="Default"/>
        <w:rPr>
          <w:sz w:val="22"/>
          <w:szCs w:val="22"/>
        </w:rPr>
      </w:pPr>
      <w:r>
        <w:rPr>
          <w:sz w:val="22"/>
          <w:szCs w:val="22"/>
        </w:rPr>
        <w:t xml:space="preserve">Update your advice to clients as the guidance from </w:t>
      </w:r>
      <w:r w:rsidR="00F0334B">
        <w:rPr>
          <w:sz w:val="22"/>
          <w:szCs w:val="22"/>
        </w:rPr>
        <w:t>G</w:t>
      </w:r>
      <w:r>
        <w:rPr>
          <w:sz w:val="22"/>
          <w:szCs w:val="22"/>
        </w:rPr>
        <w:t xml:space="preserve">overnment </w:t>
      </w:r>
    </w:p>
    <w:p w14:paraId="53EE5DDA" w14:textId="374F8DE4" w:rsidR="00932649" w:rsidRDefault="00932649" w:rsidP="00932649">
      <w:pPr>
        <w:pStyle w:val="Default"/>
        <w:rPr>
          <w:sz w:val="22"/>
          <w:szCs w:val="22"/>
        </w:rPr>
      </w:pPr>
      <w:r>
        <w:rPr>
          <w:sz w:val="22"/>
          <w:szCs w:val="22"/>
        </w:rPr>
        <w:t xml:space="preserve">evolves. </w:t>
      </w:r>
    </w:p>
    <w:p w14:paraId="63B0B934" w14:textId="0DBDF9CD" w:rsidR="005D2C66" w:rsidRDefault="005D2C66" w:rsidP="00932649">
      <w:pPr>
        <w:pStyle w:val="Default"/>
        <w:rPr>
          <w:sz w:val="22"/>
          <w:szCs w:val="22"/>
        </w:rPr>
      </w:pPr>
    </w:p>
    <w:p w14:paraId="4E5C53AF" w14:textId="77777777" w:rsidR="005D2C66" w:rsidRPr="005D2C66" w:rsidRDefault="005D2C66" w:rsidP="005D2C66">
      <w:pPr>
        <w:autoSpaceDE w:val="0"/>
        <w:autoSpaceDN w:val="0"/>
        <w:adjustRightInd w:val="0"/>
        <w:spacing w:after="0" w:line="240" w:lineRule="auto"/>
        <w:rPr>
          <w:rFonts w:ascii="Calibri Light" w:hAnsi="Calibri Light" w:cs="Calibri Light"/>
          <w:color w:val="000000"/>
          <w:sz w:val="32"/>
          <w:szCs w:val="32"/>
        </w:rPr>
      </w:pPr>
      <w:r w:rsidRPr="005D2C66">
        <w:rPr>
          <w:rFonts w:ascii="Calibri Light" w:hAnsi="Calibri Light" w:cs="Calibri Light"/>
          <w:color w:val="000000"/>
          <w:sz w:val="32"/>
          <w:szCs w:val="32"/>
        </w:rPr>
        <w:t xml:space="preserve">Index </w:t>
      </w:r>
    </w:p>
    <w:p w14:paraId="47033AA3" w14:textId="77777777" w:rsidR="005D2C66" w:rsidRPr="005D2C66" w:rsidRDefault="005D2C66" w:rsidP="005D2C66">
      <w:pPr>
        <w:autoSpaceDE w:val="0"/>
        <w:autoSpaceDN w:val="0"/>
        <w:adjustRightInd w:val="0"/>
        <w:spacing w:after="133" w:line="240" w:lineRule="auto"/>
        <w:rPr>
          <w:rFonts w:ascii="Arial" w:hAnsi="Arial" w:cs="Arial"/>
          <w:color w:val="000000"/>
        </w:rPr>
      </w:pPr>
      <w:r w:rsidRPr="005D2C66">
        <w:rPr>
          <w:rFonts w:ascii="Arial" w:hAnsi="Arial" w:cs="Arial"/>
          <w:b/>
          <w:bCs/>
          <w:color w:val="000000"/>
        </w:rPr>
        <w:t xml:space="preserve">1. At the start </w:t>
      </w:r>
      <w:r w:rsidRPr="005D2C66">
        <w:rPr>
          <w:rFonts w:ascii="Arial" w:hAnsi="Arial" w:cs="Arial"/>
          <w:color w:val="000000"/>
        </w:rPr>
        <w:t xml:space="preserve">..................................................................................................................... 4 </w:t>
      </w:r>
    </w:p>
    <w:p w14:paraId="61ED65CA" w14:textId="77777777" w:rsidR="005D2C66" w:rsidRPr="005D2C66" w:rsidRDefault="005D2C66" w:rsidP="005D2C66">
      <w:pPr>
        <w:autoSpaceDE w:val="0"/>
        <w:autoSpaceDN w:val="0"/>
        <w:adjustRightInd w:val="0"/>
        <w:spacing w:after="133" w:line="240" w:lineRule="auto"/>
        <w:rPr>
          <w:rFonts w:ascii="Arial" w:hAnsi="Arial" w:cs="Arial"/>
          <w:color w:val="000000"/>
        </w:rPr>
      </w:pPr>
      <w:r w:rsidRPr="005D2C66">
        <w:rPr>
          <w:rFonts w:ascii="Arial" w:hAnsi="Arial" w:cs="Arial"/>
          <w:b/>
          <w:bCs/>
          <w:color w:val="000000"/>
        </w:rPr>
        <w:t xml:space="preserve">2. Meeting with clients </w:t>
      </w:r>
      <w:r w:rsidRPr="005D2C66">
        <w:rPr>
          <w:rFonts w:ascii="Arial" w:hAnsi="Arial" w:cs="Arial"/>
          <w:color w:val="000000"/>
        </w:rPr>
        <w:t xml:space="preserve">........................................................................................................ </w:t>
      </w:r>
    </w:p>
    <w:p w14:paraId="6B66E9C5" w14:textId="77777777" w:rsidR="005D2C66" w:rsidRPr="005D2C66" w:rsidRDefault="005D2C66" w:rsidP="005D2C66">
      <w:pPr>
        <w:autoSpaceDE w:val="0"/>
        <w:autoSpaceDN w:val="0"/>
        <w:adjustRightInd w:val="0"/>
        <w:spacing w:after="133" w:line="240" w:lineRule="auto"/>
        <w:rPr>
          <w:rFonts w:ascii="Arial" w:hAnsi="Arial" w:cs="Arial"/>
          <w:color w:val="000000"/>
        </w:rPr>
      </w:pPr>
      <w:r w:rsidRPr="005D2C66">
        <w:rPr>
          <w:rFonts w:ascii="Arial" w:hAnsi="Arial" w:cs="Arial"/>
          <w:b/>
          <w:bCs/>
          <w:color w:val="000000"/>
        </w:rPr>
        <w:t xml:space="preserve">3. Initial instructions </w:t>
      </w:r>
      <w:r w:rsidRPr="005D2C66">
        <w:rPr>
          <w:rFonts w:ascii="Arial" w:hAnsi="Arial" w:cs="Arial"/>
          <w:color w:val="000000"/>
        </w:rPr>
        <w:t xml:space="preserve">......................................................................................................... 5 </w:t>
      </w:r>
    </w:p>
    <w:p w14:paraId="66232047"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b/>
          <w:bCs/>
          <w:color w:val="000000"/>
        </w:rPr>
        <w:t xml:space="preserve">4. ID requirements </w:t>
      </w:r>
      <w:r w:rsidRPr="005D2C66">
        <w:rPr>
          <w:rFonts w:ascii="Arial" w:hAnsi="Arial" w:cs="Arial"/>
          <w:color w:val="000000"/>
        </w:rPr>
        <w:t xml:space="preserve">............................................................................................................... </w:t>
      </w:r>
    </w:p>
    <w:p w14:paraId="6C9A2B6B" w14:textId="77777777" w:rsidR="005D2C66" w:rsidRPr="005D2C66" w:rsidRDefault="005D2C66" w:rsidP="005D2C66">
      <w:pPr>
        <w:autoSpaceDE w:val="0"/>
        <w:autoSpaceDN w:val="0"/>
        <w:adjustRightInd w:val="0"/>
        <w:spacing w:after="0" w:line="240" w:lineRule="auto"/>
        <w:rPr>
          <w:rFonts w:ascii="Arial" w:hAnsi="Arial" w:cs="Arial"/>
          <w:color w:val="000000"/>
        </w:rPr>
      </w:pPr>
    </w:p>
    <w:p w14:paraId="718089BA"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color w:val="000000"/>
        </w:rPr>
        <w:t xml:space="preserve">4.1 ID to comply with anti-money laundering (AML) obligations ................................... </w:t>
      </w:r>
    </w:p>
    <w:p w14:paraId="6B308719"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color w:val="000000"/>
        </w:rPr>
        <w:t xml:space="preserve">4.2 ID for lenders ....................................................................................................... 6 </w:t>
      </w:r>
    </w:p>
    <w:p w14:paraId="3FBBC4E4"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color w:val="000000"/>
        </w:rPr>
        <w:t xml:space="preserve">4.3 ID for HM Land Registry (HMLR) ........................................................................... </w:t>
      </w:r>
    </w:p>
    <w:p w14:paraId="217D2D94" w14:textId="77777777" w:rsidR="005D2C66" w:rsidRPr="005D2C66" w:rsidRDefault="005D2C66" w:rsidP="005D2C66">
      <w:pPr>
        <w:autoSpaceDE w:val="0"/>
        <w:autoSpaceDN w:val="0"/>
        <w:adjustRightInd w:val="0"/>
        <w:spacing w:after="131" w:line="240" w:lineRule="auto"/>
        <w:rPr>
          <w:rFonts w:ascii="Arial" w:hAnsi="Arial" w:cs="Arial"/>
          <w:color w:val="000000"/>
        </w:rPr>
      </w:pPr>
      <w:r w:rsidRPr="005D2C66">
        <w:rPr>
          <w:rFonts w:ascii="Arial" w:hAnsi="Arial" w:cs="Arial"/>
          <w:b/>
          <w:bCs/>
          <w:color w:val="000000"/>
        </w:rPr>
        <w:t xml:space="preserve">5. Undertakings </w:t>
      </w:r>
      <w:r w:rsidRPr="005D2C66">
        <w:rPr>
          <w:rFonts w:ascii="Arial" w:hAnsi="Arial" w:cs="Arial"/>
          <w:color w:val="000000"/>
        </w:rPr>
        <w:t xml:space="preserve">................................................................................................................... </w:t>
      </w:r>
    </w:p>
    <w:p w14:paraId="5A4A5CEF" w14:textId="77777777" w:rsidR="005D2C66" w:rsidRPr="005D2C66" w:rsidRDefault="005D2C66" w:rsidP="005D2C66">
      <w:pPr>
        <w:autoSpaceDE w:val="0"/>
        <w:autoSpaceDN w:val="0"/>
        <w:adjustRightInd w:val="0"/>
        <w:spacing w:after="131" w:line="240" w:lineRule="auto"/>
        <w:rPr>
          <w:rFonts w:ascii="Arial" w:hAnsi="Arial" w:cs="Arial"/>
          <w:color w:val="000000"/>
        </w:rPr>
      </w:pPr>
      <w:r w:rsidRPr="005D2C66">
        <w:rPr>
          <w:rFonts w:ascii="Arial" w:hAnsi="Arial" w:cs="Arial"/>
          <w:b/>
          <w:bCs/>
          <w:color w:val="000000"/>
        </w:rPr>
        <w:t xml:space="preserve">6. Lenders </w:t>
      </w:r>
      <w:r w:rsidRPr="005D2C66">
        <w:rPr>
          <w:rFonts w:ascii="Arial" w:hAnsi="Arial" w:cs="Arial"/>
          <w:color w:val="000000"/>
        </w:rPr>
        <w:t xml:space="preserve">............................................................................................................................ </w:t>
      </w:r>
    </w:p>
    <w:p w14:paraId="71DC1251" w14:textId="77777777" w:rsidR="005D2C66" w:rsidRPr="005D2C66" w:rsidRDefault="005D2C66" w:rsidP="005D2C66">
      <w:pPr>
        <w:autoSpaceDE w:val="0"/>
        <w:autoSpaceDN w:val="0"/>
        <w:adjustRightInd w:val="0"/>
        <w:spacing w:after="131" w:line="240" w:lineRule="auto"/>
        <w:rPr>
          <w:rFonts w:ascii="Arial" w:hAnsi="Arial" w:cs="Arial"/>
          <w:color w:val="000000"/>
        </w:rPr>
      </w:pPr>
      <w:r w:rsidRPr="005D2C66">
        <w:rPr>
          <w:rFonts w:ascii="Arial" w:hAnsi="Arial" w:cs="Arial"/>
          <w:b/>
          <w:bCs/>
          <w:color w:val="000000"/>
        </w:rPr>
        <w:t xml:space="preserve">7. Exchanging contracts and Code for Completion </w:t>
      </w:r>
      <w:r w:rsidRPr="005D2C66">
        <w:rPr>
          <w:rFonts w:ascii="Arial" w:hAnsi="Arial" w:cs="Arial"/>
          <w:color w:val="000000"/>
        </w:rPr>
        <w:t xml:space="preserve">........................................................ 7 </w:t>
      </w:r>
    </w:p>
    <w:p w14:paraId="22B790EF" w14:textId="77777777" w:rsidR="005D2C66" w:rsidRPr="005D2C66" w:rsidRDefault="005D2C66" w:rsidP="005D2C66">
      <w:pPr>
        <w:autoSpaceDE w:val="0"/>
        <w:autoSpaceDN w:val="0"/>
        <w:adjustRightInd w:val="0"/>
        <w:spacing w:after="131" w:line="240" w:lineRule="auto"/>
        <w:rPr>
          <w:rFonts w:ascii="Arial" w:hAnsi="Arial" w:cs="Arial"/>
          <w:color w:val="000000"/>
        </w:rPr>
      </w:pPr>
      <w:r w:rsidRPr="005D2C66">
        <w:rPr>
          <w:rFonts w:ascii="Arial" w:hAnsi="Arial" w:cs="Arial"/>
          <w:b/>
          <w:bCs/>
          <w:color w:val="000000"/>
        </w:rPr>
        <w:t xml:space="preserve">8. Before agreeing completion dates </w:t>
      </w:r>
      <w:r w:rsidRPr="005D2C66">
        <w:rPr>
          <w:rFonts w:ascii="Arial" w:hAnsi="Arial" w:cs="Arial"/>
          <w:color w:val="000000"/>
        </w:rPr>
        <w:t xml:space="preserve">............................................................................... 8 </w:t>
      </w:r>
    </w:p>
    <w:p w14:paraId="773FDCB0"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b/>
          <w:bCs/>
          <w:color w:val="000000"/>
        </w:rPr>
        <w:t xml:space="preserve">9. Executing documents </w:t>
      </w:r>
      <w:r w:rsidRPr="005D2C66">
        <w:rPr>
          <w:rFonts w:ascii="Arial" w:hAnsi="Arial" w:cs="Arial"/>
          <w:color w:val="000000"/>
        </w:rPr>
        <w:t xml:space="preserve">................................................................................................... 9 </w:t>
      </w:r>
    </w:p>
    <w:p w14:paraId="68025128" w14:textId="77777777" w:rsidR="005D2C66" w:rsidRPr="005D2C66" w:rsidRDefault="005D2C66" w:rsidP="005D2C66">
      <w:pPr>
        <w:autoSpaceDE w:val="0"/>
        <w:autoSpaceDN w:val="0"/>
        <w:adjustRightInd w:val="0"/>
        <w:spacing w:after="0" w:line="240" w:lineRule="auto"/>
        <w:rPr>
          <w:rFonts w:ascii="Arial" w:hAnsi="Arial" w:cs="Arial"/>
          <w:color w:val="000000"/>
        </w:rPr>
      </w:pPr>
    </w:p>
    <w:p w14:paraId="3BF06A3C"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color w:val="000000"/>
        </w:rPr>
        <w:t xml:space="preserve">9.1 Wet ink signatures ................................................................................................. </w:t>
      </w:r>
    </w:p>
    <w:p w14:paraId="11285F8F"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color w:val="000000"/>
        </w:rPr>
        <w:t xml:space="preserve">9.2 ‘Mercury’ style execution ....................................................................................... </w:t>
      </w:r>
    </w:p>
    <w:p w14:paraId="54E6A9AB" w14:textId="483E036C"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color w:val="000000"/>
        </w:rPr>
        <w:t>9.3 Electronic</w:t>
      </w:r>
      <w:r w:rsidR="00F13A37">
        <w:rPr>
          <w:rFonts w:ascii="Arial" w:hAnsi="Arial" w:cs="Arial"/>
          <w:color w:val="000000"/>
        </w:rPr>
        <w:t xml:space="preserve"> </w:t>
      </w:r>
      <w:r w:rsidRPr="005D2C66">
        <w:rPr>
          <w:rFonts w:ascii="Arial" w:hAnsi="Arial" w:cs="Arial"/>
          <w:color w:val="000000"/>
        </w:rPr>
        <w:t xml:space="preserve">signatures ........................................................................................ 10 </w:t>
      </w:r>
    </w:p>
    <w:p w14:paraId="3007F238"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color w:val="000000"/>
        </w:rPr>
        <w:t xml:space="preserve">9.4 Witnessing ............................................................................................................. </w:t>
      </w:r>
    </w:p>
    <w:p w14:paraId="3BE413CE" w14:textId="77777777" w:rsidR="005D2C66" w:rsidRPr="005D2C66" w:rsidRDefault="005D2C66" w:rsidP="005D2C66">
      <w:pPr>
        <w:autoSpaceDE w:val="0"/>
        <w:autoSpaceDN w:val="0"/>
        <w:adjustRightInd w:val="0"/>
        <w:spacing w:after="0" w:line="240" w:lineRule="auto"/>
        <w:rPr>
          <w:rFonts w:ascii="Arial" w:hAnsi="Arial" w:cs="Arial"/>
          <w:color w:val="000000"/>
        </w:rPr>
      </w:pPr>
      <w:r w:rsidRPr="005D2C66">
        <w:rPr>
          <w:rFonts w:ascii="Arial" w:hAnsi="Arial" w:cs="Arial"/>
          <w:b/>
          <w:bCs/>
          <w:color w:val="000000"/>
        </w:rPr>
        <w:t xml:space="preserve">10. Transactions in Wales </w:t>
      </w:r>
      <w:r w:rsidRPr="005D2C66">
        <w:rPr>
          <w:rFonts w:ascii="Arial" w:hAnsi="Arial" w:cs="Arial"/>
          <w:color w:val="000000"/>
        </w:rPr>
        <w:t xml:space="preserve">................................................................................................ 11 </w:t>
      </w:r>
    </w:p>
    <w:p w14:paraId="4C24F541" w14:textId="08E34A85" w:rsidR="005D2C66" w:rsidRDefault="005D2C66" w:rsidP="005D2C66">
      <w:pPr>
        <w:pStyle w:val="Default"/>
        <w:rPr>
          <w:sz w:val="22"/>
          <w:szCs w:val="22"/>
        </w:rPr>
      </w:pPr>
      <w:r w:rsidRPr="005D2C66">
        <w:rPr>
          <w:b/>
          <w:bCs/>
          <w:sz w:val="22"/>
          <w:szCs w:val="22"/>
        </w:rPr>
        <w:t xml:space="preserve">Conveyancers checklist </w:t>
      </w:r>
      <w:r w:rsidRPr="005D2C66">
        <w:rPr>
          <w:sz w:val="22"/>
          <w:szCs w:val="22"/>
        </w:rPr>
        <w:t>............................................................................................. 12</w:t>
      </w:r>
    </w:p>
    <w:p w14:paraId="1CD89A83" w14:textId="77777777" w:rsidR="00307947" w:rsidRDefault="00307947" w:rsidP="00932649">
      <w:pPr>
        <w:pStyle w:val="Default"/>
        <w:rPr>
          <w:sz w:val="22"/>
          <w:szCs w:val="22"/>
        </w:rPr>
      </w:pPr>
    </w:p>
    <w:p w14:paraId="7A9358F8" w14:textId="418DCBC8" w:rsidR="00932649" w:rsidRDefault="00932649" w:rsidP="00DD5EC8">
      <w:pPr>
        <w:pStyle w:val="Default"/>
        <w:numPr>
          <w:ilvl w:val="0"/>
          <w:numId w:val="4"/>
        </w:numPr>
        <w:rPr>
          <w:rFonts w:ascii="Calibri Light" w:hAnsi="Calibri Light" w:cs="Calibri Light"/>
          <w:sz w:val="32"/>
          <w:szCs w:val="32"/>
        </w:rPr>
      </w:pPr>
      <w:r>
        <w:rPr>
          <w:rFonts w:ascii="Calibri Light" w:hAnsi="Calibri Light" w:cs="Calibri Light"/>
          <w:sz w:val="32"/>
          <w:szCs w:val="32"/>
        </w:rPr>
        <w:t xml:space="preserve">At the start </w:t>
      </w:r>
    </w:p>
    <w:p w14:paraId="40E8E45E" w14:textId="77777777" w:rsidR="00DD5EC8" w:rsidRDefault="00DD5EC8" w:rsidP="00DD5EC8">
      <w:pPr>
        <w:pStyle w:val="Default"/>
        <w:ind w:left="720"/>
        <w:rPr>
          <w:rFonts w:ascii="Calibri Light" w:hAnsi="Calibri Light" w:cs="Calibri Light"/>
          <w:sz w:val="32"/>
          <w:szCs w:val="32"/>
        </w:rPr>
      </w:pPr>
    </w:p>
    <w:p w14:paraId="01C92E10" w14:textId="7B03BD63" w:rsidR="00932649" w:rsidRDefault="00932649" w:rsidP="00932649">
      <w:pPr>
        <w:pStyle w:val="Default"/>
        <w:rPr>
          <w:sz w:val="22"/>
          <w:szCs w:val="22"/>
        </w:rPr>
      </w:pPr>
      <w:r>
        <w:rPr>
          <w:sz w:val="22"/>
          <w:szCs w:val="22"/>
        </w:rPr>
        <w:t xml:space="preserve">At the beginning of every sale and purchase instruction: </w:t>
      </w:r>
    </w:p>
    <w:p w14:paraId="5985841C" w14:textId="77777777" w:rsidR="00603950" w:rsidRDefault="00603950" w:rsidP="00932649">
      <w:pPr>
        <w:pStyle w:val="Default"/>
        <w:rPr>
          <w:sz w:val="22"/>
          <w:szCs w:val="22"/>
        </w:rPr>
      </w:pPr>
    </w:p>
    <w:p w14:paraId="1DF8DAFB" w14:textId="44A86EDF" w:rsidR="00932649" w:rsidRPr="00DD5EC8" w:rsidRDefault="00932649" w:rsidP="00932649">
      <w:pPr>
        <w:pStyle w:val="Default"/>
        <w:rPr>
          <w:sz w:val="22"/>
          <w:szCs w:val="22"/>
        </w:rPr>
      </w:pPr>
      <w:r>
        <w:rPr>
          <w:sz w:val="22"/>
          <w:szCs w:val="22"/>
        </w:rPr>
        <w:t xml:space="preserve">• be vigilant: check for fraud warning signs. There’s an increased risk of fraud in this changed environment, especially where </w:t>
      </w:r>
      <w:r w:rsidRPr="00DD5EC8">
        <w:rPr>
          <w:sz w:val="22"/>
          <w:szCs w:val="22"/>
        </w:rPr>
        <w:t>conveyancers are working from home</w:t>
      </w:r>
    </w:p>
    <w:p w14:paraId="54C7514A" w14:textId="77777777" w:rsidR="00603950" w:rsidRDefault="00603950" w:rsidP="00932649">
      <w:pPr>
        <w:pStyle w:val="Default"/>
        <w:rPr>
          <w:sz w:val="22"/>
          <w:szCs w:val="22"/>
        </w:rPr>
      </w:pPr>
    </w:p>
    <w:p w14:paraId="6EF58761" w14:textId="7D8666B6" w:rsidR="00932649" w:rsidRDefault="00932649" w:rsidP="00932649">
      <w:pPr>
        <w:pStyle w:val="Default"/>
        <w:rPr>
          <w:sz w:val="22"/>
          <w:szCs w:val="22"/>
        </w:rPr>
      </w:pPr>
      <w:r>
        <w:rPr>
          <w:sz w:val="22"/>
          <w:szCs w:val="22"/>
        </w:rPr>
        <w:lastRenderedPageBreak/>
        <w:t xml:space="preserve">• carry out a full fraud risk assessment and an anti-money laundering (AML) risk assessment for the transaction. Remember a transaction may be low risk for one but high risk for the other </w:t>
      </w:r>
    </w:p>
    <w:p w14:paraId="281F445D" w14:textId="77777777" w:rsidR="00603950" w:rsidRDefault="00603950" w:rsidP="00932649">
      <w:pPr>
        <w:pStyle w:val="Default"/>
        <w:rPr>
          <w:sz w:val="22"/>
          <w:szCs w:val="22"/>
        </w:rPr>
      </w:pPr>
    </w:p>
    <w:p w14:paraId="5C578DEC" w14:textId="528E5B28" w:rsidR="00932649" w:rsidRDefault="00932649" w:rsidP="00932649">
      <w:pPr>
        <w:pStyle w:val="Default"/>
        <w:rPr>
          <w:sz w:val="22"/>
          <w:szCs w:val="22"/>
        </w:rPr>
      </w:pPr>
      <w:r>
        <w:rPr>
          <w:sz w:val="22"/>
          <w:szCs w:val="22"/>
        </w:rPr>
        <w:t xml:space="preserve">• check the client understands how the process will work up until completion </w:t>
      </w:r>
    </w:p>
    <w:p w14:paraId="3A4BF04A" w14:textId="77777777" w:rsidR="00603950" w:rsidRDefault="00603950" w:rsidP="00932649">
      <w:pPr>
        <w:pStyle w:val="Default"/>
        <w:rPr>
          <w:sz w:val="22"/>
          <w:szCs w:val="22"/>
        </w:rPr>
      </w:pPr>
    </w:p>
    <w:p w14:paraId="25EC6FFA" w14:textId="0E4E09CC" w:rsidR="00932649" w:rsidRDefault="00932649" w:rsidP="00932649">
      <w:pPr>
        <w:pStyle w:val="Default"/>
        <w:rPr>
          <w:sz w:val="22"/>
          <w:szCs w:val="22"/>
        </w:rPr>
      </w:pPr>
      <w:r>
        <w:rPr>
          <w:sz w:val="22"/>
          <w:szCs w:val="22"/>
        </w:rPr>
        <w:t xml:space="preserve">• establish with the other side what’s acceptable in terms of electronic or digital procedures and what will be required in terms of documentation </w:t>
      </w:r>
    </w:p>
    <w:p w14:paraId="62DA9273" w14:textId="77777777" w:rsidR="00603950" w:rsidRDefault="00603950" w:rsidP="00932649">
      <w:pPr>
        <w:pStyle w:val="Default"/>
        <w:rPr>
          <w:sz w:val="22"/>
          <w:szCs w:val="22"/>
        </w:rPr>
      </w:pPr>
    </w:p>
    <w:p w14:paraId="7A908A1B" w14:textId="35E6AED5" w:rsidR="00932649" w:rsidRDefault="00932649" w:rsidP="00932649">
      <w:pPr>
        <w:pStyle w:val="Default"/>
        <w:rPr>
          <w:sz w:val="22"/>
          <w:szCs w:val="22"/>
        </w:rPr>
      </w:pPr>
      <w:r>
        <w:rPr>
          <w:sz w:val="22"/>
          <w:szCs w:val="22"/>
        </w:rPr>
        <w:t xml:space="preserve">• point out the risks, assess the clients’ appetite for risk, set out the options and likely consequences of each option, establish whether they want to proceed and, if they do, how they want to do this </w:t>
      </w:r>
    </w:p>
    <w:p w14:paraId="6DCDE184" w14:textId="77777777" w:rsidR="00A5283F" w:rsidRDefault="00A5283F" w:rsidP="00932649">
      <w:pPr>
        <w:pStyle w:val="Default"/>
        <w:rPr>
          <w:sz w:val="22"/>
          <w:szCs w:val="22"/>
        </w:rPr>
      </w:pPr>
    </w:p>
    <w:p w14:paraId="160F282B" w14:textId="0E517161" w:rsidR="00932649" w:rsidRDefault="00932649" w:rsidP="00932649">
      <w:pPr>
        <w:pStyle w:val="Default"/>
        <w:rPr>
          <w:sz w:val="22"/>
          <w:szCs w:val="22"/>
        </w:rPr>
      </w:pPr>
      <w:r>
        <w:rPr>
          <w:sz w:val="22"/>
          <w:szCs w:val="22"/>
        </w:rPr>
        <w:t xml:space="preserve">• explain the risk of completion not taking place because of the presence of COVID-19 and how the provisions of the contract will apply and affect them if completion cannot take place when scheduled </w:t>
      </w:r>
    </w:p>
    <w:p w14:paraId="6577436B" w14:textId="77777777" w:rsidR="00A5283F" w:rsidRDefault="00A5283F" w:rsidP="00932649">
      <w:pPr>
        <w:pStyle w:val="Default"/>
        <w:rPr>
          <w:sz w:val="22"/>
          <w:szCs w:val="22"/>
        </w:rPr>
      </w:pPr>
    </w:p>
    <w:p w14:paraId="5E84C4EC" w14:textId="758199EA" w:rsidR="00932649" w:rsidRDefault="00932649" w:rsidP="00932649">
      <w:pPr>
        <w:pStyle w:val="Default"/>
        <w:rPr>
          <w:sz w:val="22"/>
          <w:szCs w:val="22"/>
        </w:rPr>
      </w:pPr>
      <w:r>
        <w:rPr>
          <w:sz w:val="22"/>
          <w:szCs w:val="22"/>
        </w:rPr>
        <w:t xml:space="preserve">• establish the details of any chain so that attempts can be made to settle any variations to the contract across the whole chain </w:t>
      </w:r>
    </w:p>
    <w:p w14:paraId="07FA950E" w14:textId="3334F50E" w:rsidR="002A6E21" w:rsidRDefault="002A6E21" w:rsidP="00932649">
      <w:pPr>
        <w:pStyle w:val="Default"/>
        <w:rPr>
          <w:sz w:val="22"/>
          <w:szCs w:val="22"/>
        </w:rPr>
      </w:pPr>
    </w:p>
    <w:p w14:paraId="1465D810" w14:textId="77777777" w:rsidR="007C7807" w:rsidRDefault="007C7807" w:rsidP="002A6E21">
      <w:pPr>
        <w:pStyle w:val="NormalWeb"/>
        <w:shd w:val="clear" w:color="auto" w:fill="FFFFFF"/>
        <w:spacing w:before="0" w:beforeAutospacing="0" w:line="276" w:lineRule="auto"/>
        <w:rPr>
          <w:rFonts w:ascii="Arial" w:hAnsi="Arial" w:cs="Arial"/>
          <w:b/>
          <w:bCs/>
          <w:sz w:val="22"/>
          <w:szCs w:val="22"/>
        </w:rPr>
      </w:pPr>
    </w:p>
    <w:p w14:paraId="3FB7C001" w14:textId="7047FA9A" w:rsidR="002A6E21" w:rsidRPr="00CD381C" w:rsidRDefault="002A6E21" w:rsidP="002A6E21">
      <w:pPr>
        <w:pStyle w:val="NormalWeb"/>
        <w:shd w:val="clear" w:color="auto" w:fill="FFFFFF"/>
        <w:spacing w:before="0" w:beforeAutospacing="0" w:line="276" w:lineRule="auto"/>
        <w:rPr>
          <w:rFonts w:ascii="Arial" w:hAnsi="Arial" w:cs="Arial"/>
          <w:b/>
          <w:bCs/>
          <w:sz w:val="22"/>
          <w:szCs w:val="22"/>
        </w:rPr>
      </w:pPr>
      <w:r w:rsidRPr="00CD381C">
        <w:rPr>
          <w:rFonts w:ascii="Arial" w:hAnsi="Arial" w:cs="Arial"/>
          <w:b/>
          <w:bCs/>
          <w:sz w:val="22"/>
          <w:szCs w:val="22"/>
        </w:rPr>
        <w:t>SDLT concession deadline – 31 March 2021</w:t>
      </w:r>
    </w:p>
    <w:p w14:paraId="05CB79B8" w14:textId="5A6E80F6" w:rsidR="00CD381C" w:rsidRPr="00CD381C" w:rsidRDefault="00CD381C" w:rsidP="00CD381C">
      <w:pPr>
        <w:pStyle w:val="NormalWeb"/>
        <w:shd w:val="clear" w:color="auto" w:fill="FFFFFF"/>
        <w:spacing w:before="0" w:beforeAutospacing="0" w:line="276" w:lineRule="auto"/>
        <w:rPr>
          <w:rFonts w:ascii="Arial" w:hAnsi="Arial" w:cs="Arial"/>
          <w:sz w:val="22"/>
          <w:szCs w:val="22"/>
        </w:rPr>
      </w:pPr>
      <w:r w:rsidRPr="00CD381C">
        <w:rPr>
          <w:rFonts w:ascii="Arial" w:hAnsi="Arial" w:cs="Arial"/>
          <w:color w:val="000000"/>
          <w:sz w:val="22"/>
          <w:szCs w:val="22"/>
        </w:rPr>
        <w:t>Whilst we have made suggestions to Government to soften the deadline of the SDLT concession on 31 March 2021, you should</w:t>
      </w:r>
      <w:r w:rsidRPr="00CD381C">
        <w:rPr>
          <w:rStyle w:val="normaltextrun"/>
          <w:rFonts w:ascii="Arial" w:hAnsi="Arial" w:cs="Arial"/>
          <w:color w:val="000000"/>
          <w:sz w:val="22"/>
          <w:szCs w:val="22"/>
        </w:rPr>
        <w:t xml:space="preserve"> continue managing clients’ expectations</w:t>
      </w:r>
      <w:r w:rsidRPr="00CD381C">
        <w:rPr>
          <w:rFonts w:ascii="Arial" w:hAnsi="Arial" w:cs="Arial"/>
          <w:color w:val="000000"/>
          <w:sz w:val="22"/>
          <w:szCs w:val="22"/>
        </w:rPr>
        <w:t xml:space="preserve"> about obtaining the benefit of the SDLT concession. Clients need to understand that the transaction is not wholly within your control and that there are many factors that can prevent the purchase or sale proceeding. The main causes for transaction delays and withdrawals seem to be valuations, obtaining mortgage offers, obtaining EWS1 forms, obtaining some search results, an increase in enquiries being raised and delays caused by all </w:t>
      </w:r>
      <w:r w:rsidR="00755378">
        <w:rPr>
          <w:rFonts w:ascii="Arial" w:hAnsi="Arial" w:cs="Arial"/>
          <w:color w:val="000000"/>
          <w:sz w:val="22"/>
          <w:szCs w:val="22"/>
        </w:rPr>
        <w:t>sectors of the industry</w:t>
      </w:r>
      <w:r w:rsidR="006244D9">
        <w:rPr>
          <w:rFonts w:ascii="Arial" w:hAnsi="Arial" w:cs="Arial"/>
          <w:color w:val="000000"/>
          <w:sz w:val="22"/>
          <w:szCs w:val="22"/>
        </w:rPr>
        <w:t xml:space="preserve"> </w:t>
      </w:r>
      <w:r w:rsidRPr="00CD381C">
        <w:rPr>
          <w:rFonts w:ascii="Arial" w:hAnsi="Arial" w:cs="Arial"/>
          <w:color w:val="000000"/>
          <w:sz w:val="22"/>
          <w:szCs w:val="22"/>
        </w:rPr>
        <w:t xml:space="preserve">having staff working from home. You may want to let your clients know about these potential delays on instruction. You should </w:t>
      </w:r>
      <w:r w:rsidR="00CB5433">
        <w:rPr>
          <w:rFonts w:ascii="Arial" w:hAnsi="Arial" w:cs="Arial"/>
          <w:color w:val="000000"/>
          <w:sz w:val="22"/>
          <w:szCs w:val="22"/>
        </w:rPr>
        <w:t>ensure</w:t>
      </w:r>
      <w:r w:rsidRPr="00CD381C">
        <w:rPr>
          <w:rFonts w:ascii="Arial" w:hAnsi="Arial" w:cs="Arial"/>
          <w:color w:val="000000"/>
          <w:sz w:val="22"/>
          <w:szCs w:val="22"/>
        </w:rPr>
        <w:t xml:space="preserve"> that your clients do not have unrealistic expectations about completing before the 31 March deadline. </w:t>
      </w:r>
      <w:r w:rsidR="006E13BB">
        <w:rPr>
          <w:rFonts w:ascii="Arial" w:hAnsi="Arial" w:cs="Arial"/>
          <w:color w:val="000000"/>
          <w:sz w:val="22"/>
          <w:szCs w:val="22"/>
        </w:rPr>
        <w:t>C</w:t>
      </w:r>
      <w:r w:rsidRPr="00CD381C">
        <w:rPr>
          <w:rFonts w:ascii="Arial" w:hAnsi="Arial" w:cs="Arial"/>
          <w:color w:val="000000"/>
          <w:sz w:val="22"/>
          <w:szCs w:val="22"/>
        </w:rPr>
        <w:t>heck whether your clients still want to proceed with the transaction</w:t>
      </w:r>
      <w:r w:rsidR="006B1525">
        <w:rPr>
          <w:rFonts w:ascii="Arial" w:hAnsi="Arial" w:cs="Arial"/>
          <w:color w:val="000000"/>
          <w:sz w:val="22"/>
          <w:szCs w:val="22"/>
        </w:rPr>
        <w:t>,</w:t>
      </w:r>
      <w:r w:rsidRPr="00CD381C">
        <w:rPr>
          <w:rFonts w:ascii="Arial" w:hAnsi="Arial" w:cs="Arial"/>
          <w:color w:val="000000"/>
          <w:sz w:val="22"/>
          <w:szCs w:val="22"/>
        </w:rPr>
        <w:t xml:space="preserve"> or not</w:t>
      </w:r>
      <w:r w:rsidR="006B1525">
        <w:rPr>
          <w:rFonts w:ascii="Arial" w:hAnsi="Arial" w:cs="Arial"/>
          <w:color w:val="000000"/>
          <w:sz w:val="22"/>
          <w:szCs w:val="22"/>
        </w:rPr>
        <w:t>,</w:t>
      </w:r>
      <w:r w:rsidRPr="00CD381C">
        <w:rPr>
          <w:rFonts w:ascii="Arial" w:hAnsi="Arial" w:cs="Arial"/>
          <w:color w:val="000000"/>
          <w:sz w:val="22"/>
          <w:szCs w:val="22"/>
        </w:rPr>
        <w:t xml:space="preserve"> if it looks unlikely that they can complete before 31 March and whether they want to renegotiate the contract to reflect any new </w:t>
      </w:r>
      <w:r w:rsidR="003C5439">
        <w:rPr>
          <w:rFonts w:ascii="Arial" w:hAnsi="Arial" w:cs="Arial"/>
          <w:color w:val="000000"/>
          <w:sz w:val="22"/>
          <w:szCs w:val="22"/>
        </w:rPr>
        <w:t>terms agreed</w:t>
      </w:r>
      <w:r w:rsidRPr="00CD381C">
        <w:rPr>
          <w:rFonts w:ascii="Arial" w:hAnsi="Arial" w:cs="Arial"/>
          <w:color w:val="000000"/>
          <w:sz w:val="22"/>
          <w:szCs w:val="22"/>
        </w:rPr>
        <w:t>. You will need to ensure, preferably before exchange of contracts, that should they not be able to complete by 31 March</w:t>
      </w:r>
      <w:r w:rsidR="00203125">
        <w:rPr>
          <w:rFonts w:ascii="Arial" w:hAnsi="Arial" w:cs="Arial"/>
          <w:color w:val="000000"/>
          <w:sz w:val="22"/>
          <w:szCs w:val="22"/>
        </w:rPr>
        <w:t xml:space="preserve"> 2021</w:t>
      </w:r>
      <w:r w:rsidRPr="00CD381C">
        <w:rPr>
          <w:rFonts w:ascii="Arial" w:hAnsi="Arial" w:cs="Arial"/>
          <w:color w:val="000000"/>
          <w:sz w:val="22"/>
          <w:szCs w:val="22"/>
        </w:rPr>
        <w:t>, they can let you have the money necessary to pay the SDLT which will be due on completion after that date.</w:t>
      </w:r>
    </w:p>
    <w:p w14:paraId="4B88CA6A" w14:textId="20A34DE9" w:rsidR="00C44555" w:rsidRDefault="00CD381C" w:rsidP="00CD381C">
      <w:pPr>
        <w:pStyle w:val="Default"/>
        <w:rPr>
          <w:sz w:val="22"/>
          <w:szCs w:val="22"/>
        </w:rPr>
      </w:pPr>
      <w:r w:rsidRPr="00CD381C">
        <w:rPr>
          <w:sz w:val="22"/>
          <w:szCs w:val="22"/>
        </w:rPr>
        <w:t>Note that the end of the SDLT holiday in England and LTT holiday in Wales coincides with the busy Easter holiday period and the end of the Help to Buy scheme in its current format.</w:t>
      </w:r>
    </w:p>
    <w:p w14:paraId="4ED266DC" w14:textId="78C0F3B0" w:rsidR="0072583F" w:rsidRDefault="0072583F" w:rsidP="00CD381C">
      <w:pPr>
        <w:pStyle w:val="Default"/>
        <w:rPr>
          <w:sz w:val="22"/>
          <w:szCs w:val="22"/>
        </w:rPr>
      </w:pPr>
    </w:p>
    <w:p w14:paraId="105D32DF" w14:textId="77777777" w:rsidR="00C65ED7" w:rsidRDefault="00C65ED7" w:rsidP="00932649">
      <w:pPr>
        <w:pStyle w:val="Default"/>
        <w:rPr>
          <w:sz w:val="22"/>
          <w:szCs w:val="22"/>
        </w:rPr>
      </w:pPr>
    </w:p>
    <w:p w14:paraId="268380A1" w14:textId="77777777" w:rsidR="00932649" w:rsidRDefault="00932649" w:rsidP="00932649">
      <w:pPr>
        <w:pStyle w:val="Default"/>
        <w:rPr>
          <w:sz w:val="22"/>
          <w:szCs w:val="22"/>
        </w:rPr>
      </w:pPr>
    </w:p>
    <w:p w14:paraId="1DEA73BC" w14:textId="347FB318" w:rsidR="00932649" w:rsidRDefault="00932649" w:rsidP="00AA6E08">
      <w:pPr>
        <w:pStyle w:val="Default"/>
        <w:numPr>
          <w:ilvl w:val="0"/>
          <w:numId w:val="4"/>
        </w:numPr>
        <w:rPr>
          <w:rFonts w:ascii="Calibri Light" w:hAnsi="Calibri Light" w:cs="Calibri Light"/>
          <w:sz w:val="32"/>
          <w:szCs w:val="32"/>
        </w:rPr>
      </w:pPr>
      <w:r>
        <w:rPr>
          <w:rFonts w:ascii="Calibri Light" w:hAnsi="Calibri Light" w:cs="Calibri Light"/>
          <w:sz w:val="32"/>
          <w:szCs w:val="32"/>
        </w:rPr>
        <w:t xml:space="preserve">Meeting with clients </w:t>
      </w:r>
    </w:p>
    <w:p w14:paraId="36C4BC7C" w14:textId="77777777" w:rsidR="00AA6E08" w:rsidRDefault="00AA6E08" w:rsidP="00AA6E08">
      <w:pPr>
        <w:pStyle w:val="Default"/>
        <w:ind w:left="720"/>
        <w:rPr>
          <w:rFonts w:ascii="Calibri Light" w:hAnsi="Calibri Light" w:cs="Calibri Light"/>
          <w:sz w:val="32"/>
          <w:szCs w:val="32"/>
        </w:rPr>
      </w:pPr>
    </w:p>
    <w:p w14:paraId="4666C591" w14:textId="77777777" w:rsidR="00932649" w:rsidRPr="006A093D" w:rsidRDefault="00932649" w:rsidP="00932649">
      <w:pPr>
        <w:pStyle w:val="Default"/>
        <w:rPr>
          <w:sz w:val="22"/>
          <w:szCs w:val="22"/>
        </w:rPr>
      </w:pPr>
      <w:r>
        <w:rPr>
          <w:sz w:val="22"/>
          <w:szCs w:val="22"/>
        </w:rPr>
        <w:t xml:space="preserve">Use virtual, </w:t>
      </w:r>
      <w:r w:rsidRPr="006A093D">
        <w:rPr>
          <w:sz w:val="22"/>
          <w:szCs w:val="22"/>
        </w:rPr>
        <w:t xml:space="preserve">electronic and/or telephone options to discuss issues with clients wherever possible. If a client must visit the office, consider taking the following precautions: </w:t>
      </w:r>
    </w:p>
    <w:p w14:paraId="3F30DB02" w14:textId="504E9EA3" w:rsidR="009A1E9A" w:rsidRDefault="00EE1E21" w:rsidP="009A1E9A">
      <w:pPr>
        <w:pStyle w:val="Default"/>
        <w:numPr>
          <w:ilvl w:val="0"/>
          <w:numId w:val="7"/>
        </w:numPr>
        <w:rPr>
          <w:sz w:val="22"/>
          <w:szCs w:val="22"/>
        </w:rPr>
      </w:pPr>
      <w:r w:rsidRPr="006A093D">
        <w:rPr>
          <w:color w:val="0B0C0C"/>
          <w:sz w:val="22"/>
          <w:szCs w:val="22"/>
          <w:shd w:val="clear" w:color="auto" w:fill="FFFFFF"/>
        </w:rPr>
        <w:t>ensure you follow the </w:t>
      </w:r>
      <w:hyperlink r:id="rId11" w:anchor="annex-a-how-covid-19-is-transmitted-and-how-to-reduce-risks" w:history="1">
        <w:r w:rsidRPr="006A093D">
          <w:rPr>
            <w:rStyle w:val="Hyperlink"/>
            <w:color w:val="4C2C92"/>
            <w:sz w:val="22"/>
            <w:szCs w:val="22"/>
            <w:bdr w:val="none" w:sz="0" w:space="0" w:color="auto" w:frame="1"/>
            <w:shd w:val="clear" w:color="auto" w:fill="FFFFFF"/>
          </w:rPr>
          <w:t>latest guidance on practical steps to reduce transmission</w:t>
        </w:r>
      </w:hyperlink>
      <w:r w:rsidRPr="006A093D">
        <w:rPr>
          <w:color w:val="0B0C0C"/>
          <w:sz w:val="22"/>
          <w:szCs w:val="22"/>
          <w:shd w:val="clear" w:color="auto" w:fill="FFFFFF"/>
        </w:rPr>
        <w:t xml:space="preserve"> and maintain a </w:t>
      </w:r>
      <w:r w:rsidR="00F13A37" w:rsidRPr="006A093D">
        <w:rPr>
          <w:color w:val="0B0C0C"/>
          <w:sz w:val="22"/>
          <w:szCs w:val="22"/>
          <w:shd w:val="clear" w:color="auto" w:fill="FFFFFF"/>
        </w:rPr>
        <w:t>2-metre</w:t>
      </w:r>
      <w:r w:rsidRPr="006A093D">
        <w:rPr>
          <w:color w:val="0B0C0C"/>
          <w:sz w:val="22"/>
          <w:szCs w:val="22"/>
          <w:shd w:val="clear" w:color="auto" w:fill="FFFFFF"/>
        </w:rPr>
        <w:t xml:space="preserve"> distance apart where possible</w:t>
      </w:r>
    </w:p>
    <w:p w14:paraId="6FB63672" w14:textId="13FBD541" w:rsidR="00932649" w:rsidRPr="009A1E9A" w:rsidRDefault="00932649" w:rsidP="009A1E9A">
      <w:pPr>
        <w:pStyle w:val="Default"/>
        <w:numPr>
          <w:ilvl w:val="0"/>
          <w:numId w:val="7"/>
        </w:numPr>
        <w:rPr>
          <w:sz w:val="22"/>
          <w:szCs w:val="22"/>
        </w:rPr>
      </w:pPr>
      <w:r w:rsidRPr="009A1E9A">
        <w:rPr>
          <w:sz w:val="22"/>
          <w:szCs w:val="22"/>
        </w:rPr>
        <w:lastRenderedPageBreak/>
        <w:t xml:space="preserve">meet with them by appointment only </w:t>
      </w:r>
    </w:p>
    <w:p w14:paraId="5286F9AC" w14:textId="0F7CD330" w:rsidR="009D7E04" w:rsidRPr="006A093D" w:rsidRDefault="00932649" w:rsidP="006A093D">
      <w:pPr>
        <w:pStyle w:val="Default"/>
        <w:numPr>
          <w:ilvl w:val="0"/>
          <w:numId w:val="7"/>
        </w:numPr>
        <w:rPr>
          <w:sz w:val="22"/>
          <w:szCs w:val="22"/>
        </w:rPr>
      </w:pPr>
      <w:r w:rsidRPr="006A093D">
        <w:rPr>
          <w:sz w:val="22"/>
          <w:szCs w:val="22"/>
        </w:rPr>
        <w:t xml:space="preserve">actively discourage people from making drop-in visits </w:t>
      </w:r>
    </w:p>
    <w:p w14:paraId="712FF0CD" w14:textId="42BE87DE" w:rsidR="00932649" w:rsidRPr="006A093D" w:rsidRDefault="00932649" w:rsidP="006A093D">
      <w:pPr>
        <w:pStyle w:val="Default"/>
        <w:numPr>
          <w:ilvl w:val="0"/>
          <w:numId w:val="7"/>
        </w:numPr>
        <w:rPr>
          <w:sz w:val="22"/>
          <w:szCs w:val="22"/>
        </w:rPr>
      </w:pPr>
      <w:r w:rsidRPr="006A093D">
        <w:rPr>
          <w:sz w:val="22"/>
          <w:szCs w:val="22"/>
        </w:rPr>
        <w:t xml:space="preserve">change the physical layout of the office as necessary to protect clients and staff </w:t>
      </w:r>
    </w:p>
    <w:p w14:paraId="5735E501" w14:textId="226F28AA" w:rsidR="00932649" w:rsidRPr="006A093D" w:rsidRDefault="00932649" w:rsidP="006A093D">
      <w:pPr>
        <w:pStyle w:val="Default"/>
        <w:numPr>
          <w:ilvl w:val="0"/>
          <w:numId w:val="7"/>
        </w:numPr>
        <w:rPr>
          <w:sz w:val="22"/>
          <w:szCs w:val="22"/>
        </w:rPr>
      </w:pPr>
      <w:r w:rsidRPr="006A093D">
        <w:rPr>
          <w:sz w:val="22"/>
          <w:szCs w:val="22"/>
        </w:rPr>
        <w:t xml:space="preserve">ask clients to clean their hands when they arrive: provide sanitiser or access to a sink, soap and paper towels </w:t>
      </w:r>
    </w:p>
    <w:p w14:paraId="499F2D02" w14:textId="1D77D382" w:rsidR="00932649" w:rsidRPr="006A093D" w:rsidRDefault="00932649" w:rsidP="006A093D">
      <w:pPr>
        <w:pStyle w:val="Default"/>
        <w:numPr>
          <w:ilvl w:val="0"/>
          <w:numId w:val="7"/>
        </w:numPr>
        <w:rPr>
          <w:sz w:val="22"/>
          <w:szCs w:val="22"/>
        </w:rPr>
      </w:pPr>
      <w:r w:rsidRPr="006A093D">
        <w:rPr>
          <w:sz w:val="22"/>
          <w:szCs w:val="22"/>
        </w:rPr>
        <w:t xml:space="preserve">install a screen at the reception desk </w:t>
      </w:r>
    </w:p>
    <w:p w14:paraId="081BB9F4" w14:textId="77777777" w:rsidR="006A093D" w:rsidRDefault="00932649" w:rsidP="00932649">
      <w:pPr>
        <w:pStyle w:val="Default"/>
        <w:numPr>
          <w:ilvl w:val="0"/>
          <w:numId w:val="7"/>
        </w:numPr>
        <w:rPr>
          <w:sz w:val="22"/>
          <w:szCs w:val="22"/>
        </w:rPr>
      </w:pPr>
      <w:r w:rsidRPr="006A093D">
        <w:rPr>
          <w:sz w:val="22"/>
          <w:szCs w:val="22"/>
        </w:rPr>
        <w:t xml:space="preserve">make provision in your waiting area to enable visitors to socially distance from each other: consider the use of floor markings using tape or similar. If this is not possible, arrange appointments with adequate intervals </w:t>
      </w:r>
    </w:p>
    <w:p w14:paraId="26A29810" w14:textId="77777777" w:rsidR="006A093D" w:rsidRDefault="00932649" w:rsidP="00932649">
      <w:pPr>
        <w:pStyle w:val="Default"/>
        <w:numPr>
          <w:ilvl w:val="0"/>
          <w:numId w:val="7"/>
        </w:numPr>
        <w:rPr>
          <w:sz w:val="22"/>
          <w:szCs w:val="22"/>
        </w:rPr>
      </w:pPr>
      <w:r w:rsidRPr="006A093D">
        <w:rPr>
          <w:sz w:val="22"/>
          <w:szCs w:val="22"/>
        </w:rPr>
        <w:t xml:space="preserve">establish a procedure for the use of any lift so that visitors and staff can comply with social distancing requirements </w:t>
      </w:r>
    </w:p>
    <w:p w14:paraId="2B1E7947" w14:textId="19106FED" w:rsidR="00932649" w:rsidRPr="006A093D" w:rsidRDefault="00932649" w:rsidP="00932649">
      <w:pPr>
        <w:pStyle w:val="Default"/>
        <w:numPr>
          <w:ilvl w:val="0"/>
          <w:numId w:val="7"/>
        </w:numPr>
        <w:rPr>
          <w:sz w:val="22"/>
          <w:szCs w:val="22"/>
        </w:rPr>
      </w:pPr>
      <w:r w:rsidRPr="006A093D">
        <w:rPr>
          <w:sz w:val="22"/>
          <w:szCs w:val="22"/>
        </w:rPr>
        <w:t xml:space="preserve">hold meetings outdoors or in well-ventilated rooms whenever possible </w:t>
      </w:r>
    </w:p>
    <w:p w14:paraId="4B1F5DF4" w14:textId="77777777" w:rsidR="00932649" w:rsidRDefault="00932649" w:rsidP="00932649">
      <w:pPr>
        <w:pStyle w:val="Default"/>
        <w:rPr>
          <w:sz w:val="22"/>
          <w:szCs w:val="22"/>
        </w:rPr>
      </w:pPr>
    </w:p>
    <w:p w14:paraId="77F1559C" w14:textId="77777777" w:rsidR="006A093D" w:rsidRDefault="006A093D" w:rsidP="00932649">
      <w:pPr>
        <w:pStyle w:val="Default"/>
        <w:rPr>
          <w:rFonts w:ascii="Calibri Light" w:hAnsi="Calibri Light" w:cs="Calibri Light"/>
          <w:sz w:val="32"/>
          <w:szCs w:val="32"/>
        </w:rPr>
      </w:pPr>
    </w:p>
    <w:p w14:paraId="0D642639" w14:textId="6A6B3E41" w:rsidR="00932649" w:rsidRDefault="00932649" w:rsidP="006A093D">
      <w:pPr>
        <w:pStyle w:val="Default"/>
        <w:numPr>
          <w:ilvl w:val="0"/>
          <w:numId w:val="4"/>
        </w:numPr>
        <w:rPr>
          <w:rFonts w:ascii="Calibri Light" w:hAnsi="Calibri Light" w:cs="Calibri Light"/>
          <w:sz w:val="32"/>
          <w:szCs w:val="32"/>
        </w:rPr>
      </w:pPr>
      <w:r>
        <w:rPr>
          <w:rFonts w:ascii="Calibri Light" w:hAnsi="Calibri Light" w:cs="Calibri Light"/>
          <w:sz w:val="32"/>
          <w:szCs w:val="32"/>
        </w:rPr>
        <w:t xml:space="preserve">Initial instructions </w:t>
      </w:r>
    </w:p>
    <w:p w14:paraId="1DC00422" w14:textId="77777777" w:rsidR="006A093D" w:rsidRDefault="006A093D" w:rsidP="006A093D">
      <w:pPr>
        <w:pStyle w:val="Default"/>
        <w:ind w:left="720"/>
        <w:rPr>
          <w:rFonts w:ascii="Calibri Light" w:hAnsi="Calibri Light" w:cs="Calibri Light"/>
          <w:sz w:val="32"/>
          <w:szCs w:val="32"/>
        </w:rPr>
      </w:pPr>
    </w:p>
    <w:p w14:paraId="561AFE3F" w14:textId="77777777" w:rsidR="00932649" w:rsidRDefault="00932649" w:rsidP="00932649">
      <w:pPr>
        <w:pStyle w:val="Default"/>
        <w:rPr>
          <w:sz w:val="22"/>
          <w:szCs w:val="22"/>
        </w:rPr>
      </w:pPr>
      <w:r>
        <w:rPr>
          <w:sz w:val="22"/>
          <w:szCs w:val="22"/>
        </w:rPr>
        <w:t xml:space="preserve">Make sure that clients understand that: </w:t>
      </w:r>
    </w:p>
    <w:p w14:paraId="649890CC" w14:textId="77777777" w:rsidR="00932649" w:rsidRDefault="00932649" w:rsidP="00932649">
      <w:pPr>
        <w:pStyle w:val="Default"/>
        <w:spacing w:after="177"/>
        <w:rPr>
          <w:sz w:val="22"/>
          <w:szCs w:val="22"/>
        </w:rPr>
      </w:pPr>
      <w:r>
        <w:rPr>
          <w:sz w:val="22"/>
          <w:szCs w:val="22"/>
        </w:rPr>
        <w:t xml:space="preserve">• they’ll need to remain flexible and patient as the matter progresses. They may need to put matters on hold at short notice. Although attempts will be made to make some provision for this in the contract, it’s not possible to provide for every situation </w:t>
      </w:r>
    </w:p>
    <w:p w14:paraId="4BF7E11D" w14:textId="77777777" w:rsidR="00932649" w:rsidRDefault="00932649" w:rsidP="00932649">
      <w:pPr>
        <w:pStyle w:val="Default"/>
        <w:spacing w:after="177"/>
        <w:rPr>
          <w:sz w:val="22"/>
          <w:szCs w:val="22"/>
        </w:rPr>
      </w:pPr>
      <w:r>
        <w:rPr>
          <w:sz w:val="22"/>
          <w:szCs w:val="22"/>
        </w:rPr>
        <w:t xml:space="preserve">• once contracts have been exchanged, they will have entered into a binding legal contract and if they fail to complete the purchase or sale, they may incur serious financial penalties </w:t>
      </w:r>
    </w:p>
    <w:p w14:paraId="7F83EACD" w14:textId="0CB243D8" w:rsidR="00932649" w:rsidRDefault="00932649" w:rsidP="00932649">
      <w:pPr>
        <w:pStyle w:val="Default"/>
        <w:spacing w:after="177"/>
        <w:rPr>
          <w:sz w:val="22"/>
          <w:szCs w:val="22"/>
        </w:rPr>
      </w:pPr>
      <w:r>
        <w:rPr>
          <w:sz w:val="22"/>
          <w:szCs w:val="22"/>
        </w:rPr>
        <w:t xml:space="preserve">• as the </w:t>
      </w:r>
      <w:r w:rsidR="00D02C40">
        <w:rPr>
          <w:sz w:val="22"/>
          <w:szCs w:val="22"/>
        </w:rPr>
        <w:t>G</w:t>
      </w:r>
      <w:r>
        <w:rPr>
          <w:sz w:val="22"/>
          <w:szCs w:val="22"/>
        </w:rPr>
        <w:t xml:space="preserve">overnment increases testing, more people who are asymptomatic may have to self-isolate, meaning that they may not be able to complete their move </w:t>
      </w:r>
    </w:p>
    <w:p w14:paraId="02D3AF71" w14:textId="2DE17F59" w:rsidR="00932649" w:rsidRPr="00B15759" w:rsidRDefault="00932649" w:rsidP="00932649">
      <w:pPr>
        <w:pStyle w:val="Default"/>
        <w:spacing w:after="177"/>
        <w:rPr>
          <w:sz w:val="22"/>
          <w:szCs w:val="22"/>
        </w:rPr>
      </w:pPr>
      <w:r>
        <w:rPr>
          <w:sz w:val="22"/>
          <w:szCs w:val="22"/>
        </w:rPr>
        <w:t xml:space="preserve">• new restrictions may be imposed by UK and/or Welsh </w:t>
      </w:r>
      <w:r w:rsidR="00D02C40">
        <w:rPr>
          <w:sz w:val="22"/>
          <w:szCs w:val="22"/>
        </w:rPr>
        <w:t>G</w:t>
      </w:r>
      <w:r>
        <w:rPr>
          <w:sz w:val="22"/>
          <w:szCs w:val="22"/>
        </w:rPr>
        <w:t xml:space="preserve">overnment which might prevent completion taking place </w:t>
      </w:r>
    </w:p>
    <w:p w14:paraId="0DFE23FF" w14:textId="3EDF56EB" w:rsidR="00932649" w:rsidRPr="00B15759" w:rsidRDefault="00932649" w:rsidP="00932649">
      <w:pPr>
        <w:pStyle w:val="Default"/>
        <w:spacing w:after="177"/>
        <w:rPr>
          <w:sz w:val="22"/>
          <w:szCs w:val="22"/>
        </w:rPr>
      </w:pPr>
      <w:r w:rsidRPr="00B15759">
        <w:rPr>
          <w:sz w:val="22"/>
          <w:szCs w:val="22"/>
        </w:rPr>
        <w:t xml:space="preserve">• regulations may be introduced by the UK or Welsh </w:t>
      </w:r>
      <w:r w:rsidR="00D02C40">
        <w:rPr>
          <w:sz w:val="22"/>
          <w:szCs w:val="22"/>
        </w:rPr>
        <w:t>G</w:t>
      </w:r>
      <w:r w:rsidRPr="00B15759">
        <w:rPr>
          <w:sz w:val="22"/>
          <w:szCs w:val="22"/>
        </w:rPr>
        <w:t xml:space="preserve">overnment at any time </w:t>
      </w:r>
      <w:r w:rsidR="00B15759" w:rsidRPr="00B15759">
        <w:rPr>
          <w:sz w:val="22"/>
          <w:szCs w:val="22"/>
        </w:rPr>
        <w:t xml:space="preserve">to </w:t>
      </w:r>
      <w:r w:rsidR="00B15759" w:rsidRPr="00B15759">
        <w:rPr>
          <w:color w:val="0B0C0C"/>
          <w:sz w:val="22"/>
          <w:szCs w:val="22"/>
          <w:shd w:val="clear" w:color="auto" w:fill="FFFFFF"/>
        </w:rPr>
        <w:t>pause all home moves locally or nationally</w:t>
      </w:r>
    </w:p>
    <w:p w14:paraId="69B7ABFA" w14:textId="77777777" w:rsidR="00932649" w:rsidRDefault="00932649" w:rsidP="00932649">
      <w:pPr>
        <w:pStyle w:val="Default"/>
        <w:spacing w:after="177"/>
        <w:rPr>
          <w:sz w:val="22"/>
          <w:szCs w:val="22"/>
        </w:rPr>
      </w:pPr>
      <w:r>
        <w:rPr>
          <w:sz w:val="22"/>
          <w:szCs w:val="22"/>
        </w:rPr>
        <w:t xml:space="preserve">• if they were hospitalised as a result of COVID-19, the contract would not be frustrated, and they would still be obliged to complete </w:t>
      </w:r>
    </w:p>
    <w:p w14:paraId="464D8B75" w14:textId="3A8F748E" w:rsidR="00932649" w:rsidRDefault="00932649" w:rsidP="00932649">
      <w:pPr>
        <w:pStyle w:val="Default"/>
        <w:rPr>
          <w:sz w:val="22"/>
          <w:szCs w:val="22"/>
        </w:rPr>
      </w:pPr>
      <w:r>
        <w:rPr>
          <w:sz w:val="22"/>
          <w:szCs w:val="22"/>
        </w:rPr>
        <w:t xml:space="preserve">• they may be moving into a property where one of the occupants has had COVID-19 or may be suffering from COVID-19 symptoms </w:t>
      </w:r>
    </w:p>
    <w:p w14:paraId="2C774580" w14:textId="2FF22FD0" w:rsidR="00175369" w:rsidRDefault="00175369" w:rsidP="00932649">
      <w:pPr>
        <w:pStyle w:val="Default"/>
        <w:rPr>
          <w:sz w:val="22"/>
          <w:szCs w:val="22"/>
        </w:rPr>
      </w:pPr>
    </w:p>
    <w:p w14:paraId="792100A5" w14:textId="5EA8BDE1" w:rsidR="0004746C" w:rsidRDefault="0004746C" w:rsidP="00932649">
      <w:pPr>
        <w:pStyle w:val="Default"/>
        <w:rPr>
          <w:sz w:val="22"/>
          <w:szCs w:val="22"/>
        </w:rPr>
      </w:pPr>
      <w:r>
        <w:rPr>
          <w:sz w:val="22"/>
          <w:szCs w:val="22"/>
        </w:rPr>
        <w:t xml:space="preserve">You </w:t>
      </w:r>
      <w:r w:rsidR="008F5BC5">
        <w:rPr>
          <w:sz w:val="22"/>
          <w:szCs w:val="22"/>
        </w:rPr>
        <w:t xml:space="preserve">should also </w:t>
      </w:r>
      <w:r>
        <w:rPr>
          <w:sz w:val="22"/>
          <w:szCs w:val="22"/>
        </w:rPr>
        <w:t>ensure</w:t>
      </w:r>
      <w:r w:rsidR="008F5BC5">
        <w:rPr>
          <w:sz w:val="22"/>
          <w:szCs w:val="22"/>
        </w:rPr>
        <w:t xml:space="preserve"> that:</w:t>
      </w:r>
    </w:p>
    <w:p w14:paraId="2954F259" w14:textId="0BA072B0" w:rsidR="00175369" w:rsidRDefault="008F5BC5" w:rsidP="00175369">
      <w:pPr>
        <w:pStyle w:val="Default"/>
        <w:numPr>
          <w:ilvl w:val="0"/>
          <w:numId w:val="6"/>
        </w:numPr>
        <w:rPr>
          <w:sz w:val="22"/>
          <w:szCs w:val="22"/>
        </w:rPr>
      </w:pPr>
      <w:r>
        <w:rPr>
          <w:sz w:val="22"/>
          <w:szCs w:val="22"/>
        </w:rPr>
        <w:t xml:space="preserve">if your client </w:t>
      </w:r>
      <w:r w:rsidR="0004746C">
        <w:rPr>
          <w:sz w:val="22"/>
          <w:szCs w:val="22"/>
        </w:rPr>
        <w:t xml:space="preserve">is </w:t>
      </w:r>
      <w:r w:rsidR="00175369">
        <w:rPr>
          <w:sz w:val="22"/>
          <w:szCs w:val="22"/>
        </w:rPr>
        <w:t>buying</w:t>
      </w:r>
      <w:r>
        <w:rPr>
          <w:sz w:val="22"/>
          <w:szCs w:val="22"/>
        </w:rPr>
        <w:t>,</w:t>
      </w:r>
      <w:r w:rsidR="00175369">
        <w:rPr>
          <w:sz w:val="22"/>
          <w:szCs w:val="22"/>
        </w:rPr>
        <w:t xml:space="preserve"> whether or not they would choose to proceed if the completion </w:t>
      </w:r>
      <w:r>
        <w:rPr>
          <w:sz w:val="22"/>
          <w:szCs w:val="22"/>
        </w:rPr>
        <w:t>takes</w:t>
      </w:r>
      <w:r w:rsidR="00175369">
        <w:rPr>
          <w:sz w:val="22"/>
          <w:szCs w:val="22"/>
        </w:rPr>
        <w:t xml:space="preserve"> place after the</w:t>
      </w:r>
      <w:r w:rsidR="00654027">
        <w:rPr>
          <w:sz w:val="22"/>
          <w:szCs w:val="22"/>
        </w:rPr>
        <w:t xml:space="preserve"> 31</w:t>
      </w:r>
      <w:r w:rsidR="00175369">
        <w:rPr>
          <w:sz w:val="22"/>
          <w:szCs w:val="22"/>
        </w:rPr>
        <w:t xml:space="preserve"> March </w:t>
      </w:r>
      <w:r w:rsidR="00654027">
        <w:rPr>
          <w:sz w:val="22"/>
          <w:szCs w:val="22"/>
        </w:rPr>
        <w:t>2021</w:t>
      </w:r>
      <w:r w:rsidR="00175369">
        <w:rPr>
          <w:sz w:val="22"/>
          <w:szCs w:val="22"/>
        </w:rPr>
        <w:t xml:space="preserve"> SDLT concession deadline</w:t>
      </w:r>
    </w:p>
    <w:p w14:paraId="357EC9EA" w14:textId="74F219A3" w:rsidR="00DA249C" w:rsidRDefault="00654027" w:rsidP="00175369">
      <w:pPr>
        <w:pStyle w:val="Default"/>
        <w:numPr>
          <w:ilvl w:val="0"/>
          <w:numId w:val="6"/>
        </w:numPr>
        <w:rPr>
          <w:sz w:val="22"/>
          <w:szCs w:val="22"/>
        </w:rPr>
      </w:pPr>
      <w:r>
        <w:rPr>
          <w:sz w:val="22"/>
          <w:szCs w:val="22"/>
        </w:rPr>
        <w:t xml:space="preserve">you have discussed with your </w:t>
      </w:r>
      <w:r w:rsidR="00DA249C">
        <w:rPr>
          <w:sz w:val="22"/>
          <w:szCs w:val="22"/>
        </w:rPr>
        <w:t>client the option</w:t>
      </w:r>
      <w:r w:rsidR="006F625E">
        <w:rPr>
          <w:sz w:val="22"/>
          <w:szCs w:val="22"/>
        </w:rPr>
        <w:t>s</w:t>
      </w:r>
      <w:r w:rsidR="00DA249C">
        <w:rPr>
          <w:sz w:val="22"/>
          <w:szCs w:val="22"/>
        </w:rPr>
        <w:t xml:space="preserve"> </w:t>
      </w:r>
      <w:r>
        <w:rPr>
          <w:sz w:val="22"/>
          <w:szCs w:val="22"/>
        </w:rPr>
        <w:t>they have</w:t>
      </w:r>
      <w:r w:rsidR="00DA249C">
        <w:rPr>
          <w:sz w:val="22"/>
          <w:szCs w:val="22"/>
        </w:rPr>
        <w:t xml:space="preserve"> in terms of </w:t>
      </w:r>
      <w:r>
        <w:rPr>
          <w:sz w:val="22"/>
          <w:szCs w:val="22"/>
        </w:rPr>
        <w:t xml:space="preserve">the </w:t>
      </w:r>
      <w:r w:rsidR="00A34D8B">
        <w:rPr>
          <w:sz w:val="22"/>
          <w:szCs w:val="22"/>
        </w:rPr>
        <w:t>usual contract provisions</w:t>
      </w:r>
      <w:r w:rsidR="00DA249C">
        <w:rPr>
          <w:sz w:val="22"/>
          <w:szCs w:val="22"/>
        </w:rPr>
        <w:t xml:space="preserve">, </w:t>
      </w:r>
      <w:r w:rsidR="00642720">
        <w:rPr>
          <w:sz w:val="22"/>
          <w:szCs w:val="22"/>
        </w:rPr>
        <w:t xml:space="preserve">whether or not </w:t>
      </w:r>
      <w:r w:rsidR="00DA249C">
        <w:rPr>
          <w:sz w:val="22"/>
          <w:szCs w:val="22"/>
        </w:rPr>
        <w:t xml:space="preserve">working towards simultaneous exchange and completion or </w:t>
      </w:r>
      <w:r w:rsidR="008B6A72">
        <w:rPr>
          <w:sz w:val="22"/>
          <w:szCs w:val="22"/>
        </w:rPr>
        <w:t>adapting</w:t>
      </w:r>
      <w:r w:rsidR="00DA249C">
        <w:rPr>
          <w:sz w:val="22"/>
          <w:szCs w:val="22"/>
        </w:rPr>
        <w:t xml:space="preserve"> the </w:t>
      </w:r>
      <w:commentRangeStart w:id="1"/>
      <w:r w:rsidR="00DA249C">
        <w:rPr>
          <w:sz w:val="22"/>
          <w:szCs w:val="22"/>
        </w:rPr>
        <w:t xml:space="preserve">Covid </w:t>
      </w:r>
      <w:r w:rsidR="00AF62F9">
        <w:rPr>
          <w:sz w:val="22"/>
          <w:szCs w:val="22"/>
        </w:rPr>
        <w:t>rider</w:t>
      </w:r>
      <w:r w:rsidR="00DA249C">
        <w:rPr>
          <w:sz w:val="22"/>
          <w:szCs w:val="22"/>
        </w:rPr>
        <w:t xml:space="preserve"> </w:t>
      </w:r>
      <w:commentRangeEnd w:id="1"/>
      <w:r w:rsidR="00863067">
        <w:rPr>
          <w:rStyle w:val="CommentReference"/>
          <w:rFonts w:asciiTheme="minorHAnsi" w:hAnsiTheme="minorHAnsi" w:cstheme="minorBidi"/>
          <w:color w:val="auto"/>
        </w:rPr>
        <w:commentReference w:id="1"/>
      </w:r>
      <w:r w:rsidR="00863067">
        <w:rPr>
          <w:sz w:val="22"/>
          <w:szCs w:val="22"/>
        </w:rPr>
        <w:t>to the agreement</w:t>
      </w:r>
      <w:r>
        <w:rPr>
          <w:sz w:val="22"/>
          <w:szCs w:val="22"/>
        </w:rPr>
        <w:t>. D</w:t>
      </w:r>
      <w:r w:rsidR="00DA249C">
        <w:rPr>
          <w:sz w:val="22"/>
          <w:szCs w:val="22"/>
        </w:rPr>
        <w:t xml:space="preserve">iscuss the advantages and disadvantages of each of </w:t>
      </w:r>
      <w:r>
        <w:rPr>
          <w:sz w:val="22"/>
          <w:szCs w:val="22"/>
        </w:rPr>
        <w:t>these options</w:t>
      </w:r>
      <w:r w:rsidR="00693147">
        <w:rPr>
          <w:sz w:val="22"/>
          <w:szCs w:val="22"/>
        </w:rPr>
        <w:t xml:space="preserve"> as set out </w:t>
      </w:r>
      <w:r w:rsidR="00EF5A12">
        <w:rPr>
          <w:sz w:val="22"/>
          <w:szCs w:val="22"/>
        </w:rPr>
        <w:t>below</w:t>
      </w:r>
      <w:r w:rsidR="00C70D30">
        <w:rPr>
          <w:sz w:val="22"/>
          <w:szCs w:val="22"/>
        </w:rPr>
        <w:t xml:space="preserve"> </w:t>
      </w:r>
    </w:p>
    <w:p w14:paraId="0CB0B5CE" w14:textId="3CEF8DC5" w:rsidR="00C431F6" w:rsidRDefault="00654027" w:rsidP="000317EE">
      <w:pPr>
        <w:pStyle w:val="Default"/>
        <w:numPr>
          <w:ilvl w:val="0"/>
          <w:numId w:val="6"/>
        </w:numPr>
        <w:rPr>
          <w:sz w:val="22"/>
          <w:szCs w:val="22"/>
        </w:rPr>
      </w:pPr>
      <w:r>
        <w:rPr>
          <w:sz w:val="22"/>
          <w:szCs w:val="22"/>
        </w:rPr>
        <w:t xml:space="preserve">if your client </w:t>
      </w:r>
      <w:r w:rsidR="00945C5B">
        <w:rPr>
          <w:sz w:val="22"/>
          <w:szCs w:val="22"/>
        </w:rPr>
        <w:t>wants to include a Covid clause</w:t>
      </w:r>
      <w:r>
        <w:rPr>
          <w:sz w:val="22"/>
          <w:szCs w:val="22"/>
        </w:rPr>
        <w:t xml:space="preserve"> in the contract,</w:t>
      </w:r>
      <w:r w:rsidR="00945C5B">
        <w:rPr>
          <w:sz w:val="22"/>
          <w:szCs w:val="22"/>
        </w:rPr>
        <w:t xml:space="preserve"> yo</w:t>
      </w:r>
      <w:r w:rsidR="0004746C">
        <w:rPr>
          <w:sz w:val="22"/>
          <w:szCs w:val="22"/>
        </w:rPr>
        <w:t>u</w:t>
      </w:r>
      <w:r w:rsidR="00945C5B">
        <w:rPr>
          <w:sz w:val="22"/>
          <w:szCs w:val="22"/>
        </w:rPr>
        <w:t xml:space="preserve"> need to ensure an identical clause</w:t>
      </w:r>
      <w:r w:rsidR="00C34A18">
        <w:rPr>
          <w:sz w:val="22"/>
          <w:szCs w:val="22"/>
        </w:rPr>
        <w:t>, or a clause with a similar effect,</w:t>
      </w:r>
      <w:r w:rsidR="00945C5B">
        <w:rPr>
          <w:sz w:val="22"/>
          <w:szCs w:val="22"/>
        </w:rPr>
        <w:t xml:space="preserve"> is included in every other </w:t>
      </w:r>
      <w:r w:rsidR="00983F0F">
        <w:rPr>
          <w:sz w:val="22"/>
          <w:szCs w:val="22"/>
        </w:rPr>
        <w:t>contract in all transactions</w:t>
      </w:r>
      <w:r w:rsidR="00945C5B">
        <w:rPr>
          <w:sz w:val="22"/>
          <w:szCs w:val="22"/>
        </w:rPr>
        <w:t xml:space="preserve"> in the chain</w:t>
      </w:r>
      <w:r w:rsidR="00162897">
        <w:rPr>
          <w:sz w:val="22"/>
          <w:szCs w:val="22"/>
        </w:rPr>
        <w:t>.</w:t>
      </w:r>
    </w:p>
    <w:p w14:paraId="27EBE817" w14:textId="77777777" w:rsidR="00932649" w:rsidRDefault="00932649" w:rsidP="00932649">
      <w:pPr>
        <w:pStyle w:val="Default"/>
        <w:rPr>
          <w:sz w:val="22"/>
          <w:szCs w:val="22"/>
        </w:rPr>
      </w:pPr>
    </w:p>
    <w:p w14:paraId="20337301" w14:textId="2A229E3D" w:rsidR="00932649" w:rsidRDefault="00932649" w:rsidP="00932649">
      <w:pPr>
        <w:pStyle w:val="Default"/>
        <w:rPr>
          <w:sz w:val="22"/>
          <w:szCs w:val="22"/>
        </w:rPr>
      </w:pPr>
      <w:r>
        <w:rPr>
          <w:sz w:val="22"/>
          <w:szCs w:val="22"/>
        </w:rPr>
        <w:t>Discuss with clients the risks associated with</w:t>
      </w:r>
      <w:r w:rsidR="00162897">
        <w:rPr>
          <w:sz w:val="22"/>
          <w:szCs w:val="22"/>
        </w:rPr>
        <w:t xml:space="preserve"> each of</w:t>
      </w:r>
      <w:r>
        <w:rPr>
          <w:sz w:val="22"/>
          <w:szCs w:val="22"/>
        </w:rPr>
        <w:t xml:space="preserve"> these issues and how they can be addressed. </w:t>
      </w:r>
    </w:p>
    <w:p w14:paraId="0D1D5D69" w14:textId="3A95310E" w:rsidR="0005212B" w:rsidRDefault="0005212B" w:rsidP="00932649">
      <w:pPr>
        <w:pStyle w:val="Default"/>
        <w:rPr>
          <w:sz w:val="22"/>
          <w:szCs w:val="22"/>
        </w:rPr>
      </w:pPr>
    </w:p>
    <w:p w14:paraId="0887AA80" w14:textId="77777777" w:rsidR="0005212B" w:rsidRDefault="0005212B" w:rsidP="00932649">
      <w:pPr>
        <w:pStyle w:val="Default"/>
        <w:rPr>
          <w:sz w:val="22"/>
          <w:szCs w:val="22"/>
        </w:rPr>
      </w:pPr>
    </w:p>
    <w:p w14:paraId="52CC8C7F" w14:textId="0C36BD61" w:rsidR="008D2E5D" w:rsidRDefault="008D2E5D" w:rsidP="00932649">
      <w:pPr>
        <w:pStyle w:val="Default"/>
        <w:rPr>
          <w:sz w:val="22"/>
          <w:szCs w:val="22"/>
        </w:rPr>
      </w:pPr>
    </w:p>
    <w:p w14:paraId="0463F90B" w14:textId="54D40147" w:rsidR="008D2E5D" w:rsidRDefault="003A3B2F" w:rsidP="008D2E5D">
      <w:pPr>
        <w:pStyle w:val="Default"/>
        <w:rPr>
          <w:b/>
          <w:bCs/>
          <w:sz w:val="22"/>
          <w:szCs w:val="22"/>
          <w:u w:val="single"/>
        </w:rPr>
      </w:pPr>
      <w:r>
        <w:rPr>
          <w:b/>
          <w:bCs/>
          <w:sz w:val="22"/>
          <w:szCs w:val="22"/>
          <w:u w:val="single"/>
        </w:rPr>
        <w:lastRenderedPageBreak/>
        <w:t>Covid r</w:t>
      </w:r>
      <w:r w:rsidR="008D2E5D" w:rsidRPr="000317EE">
        <w:rPr>
          <w:b/>
          <w:bCs/>
          <w:sz w:val="22"/>
          <w:szCs w:val="22"/>
          <w:u w:val="single"/>
        </w:rPr>
        <w:t>ider to the agreement</w:t>
      </w:r>
    </w:p>
    <w:p w14:paraId="5CF49B93" w14:textId="77777777" w:rsidR="000317EE" w:rsidRPr="000317EE" w:rsidRDefault="000317EE" w:rsidP="008D2E5D">
      <w:pPr>
        <w:pStyle w:val="Default"/>
        <w:rPr>
          <w:b/>
          <w:bCs/>
          <w:sz w:val="22"/>
          <w:szCs w:val="22"/>
          <w:u w:val="single"/>
        </w:rPr>
      </w:pPr>
    </w:p>
    <w:p w14:paraId="0A55BFDD" w14:textId="13BDDC8B" w:rsidR="008D2E5D" w:rsidRPr="002A202F" w:rsidRDefault="00F11BA7" w:rsidP="008D2E5D">
      <w:pPr>
        <w:pStyle w:val="Default"/>
        <w:rPr>
          <w:sz w:val="22"/>
          <w:szCs w:val="22"/>
        </w:rPr>
      </w:pPr>
      <w:r>
        <w:rPr>
          <w:sz w:val="22"/>
          <w:szCs w:val="22"/>
        </w:rPr>
        <w:t>If your client wishes to use the Covid rider</w:t>
      </w:r>
      <w:r w:rsidR="003A3B2F">
        <w:rPr>
          <w:sz w:val="22"/>
          <w:szCs w:val="22"/>
        </w:rPr>
        <w:t xml:space="preserve"> in the contract, </w:t>
      </w:r>
      <w:r w:rsidR="004E00D7">
        <w:rPr>
          <w:sz w:val="22"/>
          <w:szCs w:val="22"/>
        </w:rPr>
        <w:t xml:space="preserve">you should refer them to the contents of clause 2 at the initial </w:t>
      </w:r>
      <w:r w:rsidR="008D2E5D" w:rsidRPr="002A202F">
        <w:rPr>
          <w:sz w:val="22"/>
          <w:szCs w:val="22"/>
        </w:rPr>
        <w:t xml:space="preserve">instruction stage. If your client chooses to use the rider, the appropriate number of working days needs to be inserted in clause 2 and if they want to complete before 31 March, </w:t>
      </w:r>
      <w:r w:rsidR="00714299">
        <w:rPr>
          <w:sz w:val="22"/>
          <w:szCs w:val="22"/>
        </w:rPr>
        <w:t>this</w:t>
      </w:r>
      <w:r w:rsidR="008D2E5D" w:rsidRPr="002A202F">
        <w:rPr>
          <w:sz w:val="22"/>
          <w:szCs w:val="22"/>
        </w:rPr>
        <w:t xml:space="preserve"> need</w:t>
      </w:r>
      <w:r w:rsidR="00714299">
        <w:rPr>
          <w:sz w:val="22"/>
          <w:szCs w:val="22"/>
        </w:rPr>
        <w:t>s</w:t>
      </w:r>
      <w:r w:rsidR="008D2E5D" w:rsidRPr="002A202F">
        <w:rPr>
          <w:sz w:val="22"/>
          <w:szCs w:val="22"/>
        </w:rPr>
        <w:t xml:space="preserve"> to</w:t>
      </w:r>
      <w:r w:rsidR="00714299">
        <w:rPr>
          <w:sz w:val="22"/>
          <w:szCs w:val="22"/>
        </w:rPr>
        <w:t xml:space="preserve"> be</w:t>
      </w:r>
      <w:r w:rsidR="008D2E5D" w:rsidRPr="002A202F">
        <w:rPr>
          <w:sz w:val="22"/>
          <w:szCs w:val="22"/>
        </w:rPr>
        <w:t xml:space="preserve"> calculate</w:t>
      </w:r>
      <w:r w:rsidR="00714299">
        <w:rPr>
          <w:sz w:val="22"/>
          <w:szCs w:val="22"/>
        </w:rPr>
        <w:t>d cautiously</w:t>
      </w:r>
      <w:r w:rsidR="008D2E5D" w:rsidRPr="002A202F">
        <w:rPr>
          <w:sz w:val="22"/>
          <w:szCs w:val="22"/>
        </w:rPr>
        <w:t xml:space="preserve">. You would also need to make sure everyone in the chain has inserted the same number of days. Similar matters apply to </w:t>
      </w:r>
      <w:r w:rsidR="0079230B">
        <w:rPr>
          <w:sz w:val="22"/>
          <w:szCs w:val="22"/>
        </w:rPr>
        <w:t xml:space="preserve">the time limits in relation to the </w:t>
      </w:r>
      <w:r w:rsidR="008D2E5D" w:rsidRPr="002A202F">
        <w:rPr>
          <w:sz w:val="22"/>
          <w:szCs w:val="22"/>
        </w:rPr>
        <w:t>service of notice to complete</w:t>
      </w:r>
      <w:r w:rsidR="0079230B">
        <w:rPr>
          <w:sz w:val="22"/>
          <w:szCs w:val="22"/>
        </w:rPr>
        <w:t>.</w:t>
      </w:r>
    </w:p>
    <w:p w14:paraId="2B0BF287" w14:textId="77777777" w:rsidR="008D2E5D" w:rsidRDefault="008D2E5D" w:rsidP="00932649">
      <w:pPr>
        <w:pStyle w:val="Default"/>
        <w:rPr>
          <w:sz w:val="22"/>
          <w:szCs w:val="22"/>
        </w:rPr>
      </w:pPr>
    </w:p>
    <w:p w14:paraId="4B47BACF" w14:textId="77777777" w:rsidR="006A093D" w:rsidRDefault="006A093D" w:rsidP="00932649">
      <w:pPr>
        <w:pStyle w:val="Default"/>
        <w:rPr>
          <w:sz w:val="22"/>
          <w:szCs w:val="22"/>
        </w:rPr>
      </w:pPr>
    </w:p>
    <w:p w14:paraId="70CFAD20" w14:textId="3C9D12BF" w:rsidR="00932649" w:rsidRDefault="00932649" w:rsidP="00E01115">
      <w:pPr>
        <w:pStyle w:val="Default"/>
        <w:numPr>
          <w:ilvl w:val="0"/>
          <w:numId w:val="4"/>
        </w:numPr>
        <w:rPr>
          <w:rFonts w:ascii="Calibri Light" w:hAnsi="Calibri Light" w:cs="Calibri Light"/>
          <w:sz w:val="32"/>
          <w:szCs w:val="32"/>
        </w:rPr>
      </w:pPr>
      <w:r>
        <w:rPr>
          <w:rFonts w:ascii="Calibri Light" w:hAnsi="Calibri Light" w:cs="Calibri Light"/>
          <w:sz w:val="32"/>
          <w:szCs w:val="32"/>
        </w:rPr>
        <w:t xml:space="preserve">ID requirements </w:t>
      </w:r>
    </w:p>
    <w:p w14:paraId="18422549" w14:textId="77777777" w:rsidR="00E01115" w:rsidRDefault="00E01115" w:rsidP="00E01115">
      <w:pPr>
        <w:pStyle w:val="Default"/>
        <w:ind w:left="720"/>
        <w:rPr>
          <w:rFonts w:ascii="Calibri Light" w:hAnsi="Calibri Light" w:cs="Calibri Light"/>
          <w:sz w:val="32"/>
          <w:szCs w:val="32"/>
        </w:rPr>
      </w:pPr>
    </w:p>
    <w:p w14:paraId="6A319491" w14:textId="68E10EA4" w:rsidR="00932649" w:rsidRDefault="00932649" w:rsidP="00932649">
      <w:pPr>
        <w:pStyle w:val="Default"/>
        <w:rPr>
          <w:sz w:val="22"/>
          <w:szCs w:val="22"/>
        </w:rPr>
      </w:pPr>
      <w:r>
        <w:rPr>
          <w:b/>
          <w:bCs/>
          <w:sz w:val="22"/>
          <w:szCs w:val="22"/>
        </w:rPr>
        <w:t>4.1</w:t>
      </w:r>
      <w:r w:rsidR="00CE31D1">
        <w:rPr>
          <w:b/>
          <w:bCs/>
          <w:sz w:val="22"/>
          <w:szCs w:val="22"/>
        </w:rPr>
        <w:t xml:space="preserve">. </w:t>
      </w:r>
      <w:r>
        <w:rPr>
          <w:b/>
          <w:bCs/>
          <w:sz w:val="22"/>
          <w:szCs w:val="22"/>
        </w:rPr>
        <w:t xml:space="preserve">ID to comply with anti-money laundering (AML) obligations </w:t>
      </w:r>
    </w:p>
    <w:p w14:paraId="0B1D66E8" w14:textId="77777777" w:rsidR="00932649" w:rsidRDefault="00932649" w:rsidP="00932649">
      <w:pPr>
        <w:pStyle w:val="Default"/>
        <w:spacing w:after="177"/>
        <w:rPr>
          <w:sz w:val="22"/>
          <w:szCs w:val="22"/>
        </w:rPr>
      </w:pPr>
      <w:r>
        <w:rPr>
          <w:sz w:val="22"/>
          <w:szCs w:val="22"/>
        </w:rPr>
        <w:t xml:space="preserve">• Continue to carry out due diligence under the Money Laundering Regulations. These have not been suspended </w:t>
      </w:r>
    </w:p>
    <w:p w14:paraId="020178CC" w14:textId="77777777" w:rsidR="00932649" w:rsidRDefault="00932649" w:rsidP="00932649">
      <w:pPr>
        <w:pStyle w:val="Default"/>
        <w:spacing w:after="177"/>
        <w:rPr>
          <w:sz w:val="22"/>
          <w:szCs w:val="22"/>
        </w:rPr>
      </w:pPr>
      <w:r>
        <w:rPr>
          <w:sz w:val="22"/>
          <w:szCs w:val="22"/>
        </w:rPr>
        <w:t xml:space="preserve">• If there’s no face-to-face contact, continue to comply with the enhanced due diligence (EDD) requirements as set out in the </w:t>
      </w:r>
      <w:r>
        <w:rPr>
          <w:i/>
          <w:iCs/>
          <w:sz w:val="22"/>
          <w:szCs w:val="22"/>
        </w:rPr>
        <w:t xml:space="preserve">Legal Sector Affinity Group guidance for the legal sector </w:t>
      </w:r>
    </w:p>
    <w:p w14:paraId="0D83EB86" w14:textId="77777777" w:rsidR="00932649" w:rsidRDefault="00932649" w:rsidP="00932649">
      <w:pPr>
        <w:pStyle w:val="Default"/>
        <w:spacing w:after="177"/>
        <w:rPr>
          <w:sz w:val="22"/>
          <w:szCs w:val="22"/>
        </w:rPr>
      </w:pPr>
      <w:r>
        <w:rPr>
          <w:sz w:val="22"/>
          <w:szCs w:val="22"/>
        </w:rPr>
        <w:t xml:space="preserve">• Comply with the Legal Sector Affinity Group’s more detailed guidance on dealing with anti-money laundering compliance during the coronavirus pandemic </w:t>
      </w:r>
    </w:p>
    <w:p w14:paraId="18EF3D1D" w14:textId="77777777" w:rsidR="00932649" w:rsidRDefault="00932649" w:rsidP="00932649">
      <w:pPr>
        <w:pStyle w:val="Default"/>
        <w:rPr>
          <w:sz w:val="22"/>
          <w:szCs w:val="22"/>
        </w:rPr>
      </w:pPr>
      <w:r>
        <w:rPr>
          <w:sz w:val="22"/>
          <w:szCs w:val="22"/>
        </w:rPr>
        <w:t xml:space="preserve">• Use electronic ID – the Financial Action Task Force Guidance on electronic ID provides some information about verification services </w:t>
      </w:r>
    </w:p>
    <w:p w14:paraId="2D084C51" w14:textId="77777777" w:rsidR="00932649" w:rsidRDefault="00932649" w:rsidP="00932649">
      <w:pPr>
        <w:pStyle w:val="Default"/>
        <w:rPr>
          <w:sz w:val="22"/>
          <w:szCs w:val="22"/>
        </w:rPr>
      </w:pPr>
    </w:p>
    <w:p w14:paraId="5431073A" w14:textId="1CE17693" w:rsidR="00932649" w:rsidRDefault="00932649" w:rsidP="00932649">
      <w:pPr>
        <w:pStyle w:val="Default"/>
        <w:rPr>
          <w:sz w:val="22"/>
          <w:szCs w:val="22"/>
        </w:rPr>
      </w:pPr>
      <w:r>
        <w:rPr>
          <w:sz w:val="22"/>
          <w:szCs w:val="22"/>
        </w:rPr>
        <w:t xml:space="preserve">• Even if there’s face-to-face interaction and paper ID documents are provided, consider using electronic ID in addition as the best forms of this are more reliable </w:t>
      </w:r>
    </w:p>
    <w:p w14:paraId="77EF0BB7" w14:textId="77777777" w:rsidR="00932649" w:rsidRDefault="00932649" w:rsidP="00932649">
      <w:pPr>
        <w:pStyle w:val="Default"/>
        <w:rPr>
          <w:sz w:val="22"/>
          <w:szCs w:val="22"/>
        </w:rPr>
      </w:pPr>
    </w:p>
    <w:p w14:paraId="28A16EE8" w14:textId="324722ED" w:rsidR="00932649" w:rsidRDefault="00932649" w:rsidP="00CE31D1">
      <w:pPr>
        <w:pStyle w:val="Default"/>
        <w:numPr>
          <w:ilvl w:val="1"/>
          <w:numId w:val="4"/>
        </w:numPr>
        <w:rPr>
          <w:b/>
          <w:bCs/>
          <w:sz w:val="22"/>
          <w:szCs w:val="22"/>
        </w:rPr>
      </w:pPr>
      <w:r>
        <w:rPr>
          <w:b/>
          <w:bCs/>
          <w:sz w:val="22"/>
          <w:szCs w:val="22"/>
        </w:rPr>
        <w:t xml:space="preserve">ID for lenders </w:t>
      </w:r>
    </w:p>
    <w:p w14:paraId="4629D077" w14:textId="77777777" w:rsidR="00D335B8" w:rsidRDefault="00D335B8" w:rsidP="00D335B8">
      <w:pPr>
        <w:pStyle w:val="Default"/>
        <w:ind w:left="1080"/>
        <w:rPr>
          <w:sz w:val="22"/>
          <w:szCs w:val="22"/>
        </w:rPr>
      </w:pPr>
    </w:p>
    <w:p w14:paraId="631C0AA3" w14:textId="26F2D402" w:rsidR="00D335B8" w:rsidRDefault="00932649" w:rsidP="00932649">
      <w:pPr>
        <w:pStyle w:val="Default"/>
        <w:rPr>
          <w:sz w:val="22"/>
          <w:szCs w:val="22"/>
        </w:rPr>
      </w:pPr>
      <w:r>
        <w:rPr>
          <w:sz w:val="22"/>
          <w:szCs w:val="22"/>
        </w:rPr>
        <w:t>Continue to comply with obligations as set out in the UK Finance Mortgage Lenders Handbook and in the BSA Mortgage Instructions.</w:t>
      </w:r>
    </w:p>
    <w:p w14:paraId="4CBC2A44" w14:textId="77777777" w:rsidR="00162897" w:rsidRDefault="00162897" w:rsidP="00932649">
      <w:pPr>
        <w:pStyle w:val="Default"/>
        <w:rPr>
          <w:sz w:val="22"/>
          <w:szCs w:val="22"/>
        </w:rPr>
      </w:pPr>
    </w:p>
    <w:p w14:paraId="542884D6" w14:textId="64FD43B9" w:rsidR="00932649" w:rsidRDefault="00932649" w:rsidP="00932649">
      <w:pPr>
        <w:pStyle w:val="Default"/>
        <w:rPr>
          <w:sz w:val="22"/>
          <w:szCs w:val="22"/>
        </w:rPr>
      </w:pPr>
      <w:r>
        <w:rPr>
          <w:sz w:val="22"/>
          <w:szCs w:val="22"/>
        </w:rPr>
        <w:t xml:space="preserve"> </w:t>
      </w:r>
    </w:p>
    <w:p w14:paraId="317CD551" w14:textId="77777777" w:rsidR="00932649" w:rsidRDefault="00932649" w:rsidP="00932649">
      <w:pPr>
        <w:pStyle w:val="Default"/>
        <w:rPr>
          <w:sz w:val="22"/>
          <w:szCs w:val="22"/>
        </w:rPr>
      </w:pPr>
      <w:r>
        <w:rPr>
          <w:b/>
          <w:bCs/>
          <w:sz w:val="22"/>
          <w:szCs w:val="22"/>
        </w:rPr>
        <w:t xml:space="preserve">4.3. ID for HM Land Registry (HMLR) </w:t>
      </w:r>
    </w:p>
    <w:p w14:paraId="7F241ABB" w14:textId="77777777" w:rsidR="00D335B8" w:rsidRDefault="00D335B8" w:rsidP="00932649">
      <w:pPr>
        <w:pStyle w:val="Default"/>
        <w:rPr>
          <w:sz w:val="22"/>
          <w:szCs w:val="22"/>
        </w:rPr>
      </w:pPr>
    </w:p>
    <w:p w14:paraId="1D105A85" w14:textId="2722760A" w:rsidR="00932649" w:rsidRDefault="00932649" w:rsidP="00932649">
      <w:pPr>
        <w:pStyle w:val="Default"/>
        <w:rPr>
          <w:sz w:val="22"/>
          <w:szCs w:val="22"/>
        </w:rPr>
      </w:pPr>
      <w:r>
        <w:rPr>
          <w:sz w:val="22"/>
          <w:szCs w:val="22"/>
        </w:rPr>
        <w:t xml:space="preserve">HMLR has introduced some temporary changes to their requirements to make it easier to verify identity for land transactions. Full details on these changes, including the conditions that must be satisfied, are available in Practice Guide 67A. </w:t>
      </w:r>
    </w:p>
    <w:p w14:paraId="70172C15" w14:textId="77777777" w:rsidR="00D335B8" w:rsidRDefault="00D335B8" w:rsidP="00932649">
      <w:pPr>
        <w:pStyle w:val="Default"/>
        <w:rPr>
          <w:sz w:val="22"/>
          <w:szCs w:val="22"/>
        </w:rPr>
      </w:pPr>
    </w:p>
    <w:p w14:paraId="176D6ED8" w14:textId="2299B527" w:rsidR="00932649" w:rsidRPr="00936035" w:rsidRDefault="00932649" w:rsidP="00932649">
      <w:pPr>
        <w:pStyle w:val="Default"/>
        <w:rPr>
          <w:sz w:val="22"/>
          <w:szCs w:val="22"/>
        </w:rPr>
      </w:pPr>
      <w:r>
        <w:rPr>
          <w:sz w:val="22"/>
          <w:szCs w:val="22"/>
        </w:rPr>
        <w:t xml:space="preserve">HMLR will now not reject applications where identity evidence is not provided. They will raise </w:t>
      </w:r>
      <w:r w:rsidRPr="00936035">
        <w:rPr>
          <w:sz w:val="22"/>
          <w:szCs w:val="22"/>
        </w:rPr>
        <w:t xml:space="preserve">a requisition so that applications do not lose their priority. </w:t>
      </w:r>
    </w:p>
    <w:p w14:paraId="7DC761B2" w14:textId="77777777" w:rsidR="00FD0C6A" w:rsidRPr="00936035" w:rsidRDefault="00FD0C6A" w:rsidP="00932649">
      <w:pPr>
        <w:pStyle w:val="Default"/>
        <w:rPr>
          <w:sz w:val="22"/>
          <w:szCs w:val="22"/>
        </w:rPr>
      </w:pPr>
    </w:p>
    <w:p w14:paraId="5C4215BB" w14:textId="64FBE345" w:rsidR="00932649" w:rsidRPr="00936035" w:rsidRDefault="00932649" w:rsidP="00932649">
      <w:pPr>
        <w:pStyle w:val="Default"/>
        <w:rPr>
          <w:sz w:val="22"/>
          <w:szCs w:val="22"/>
        </w:rPr>
      </w:pPr>
      <w:r w:rsidRPr="00936035">
        <w:rPr>
          <w:sz w:val="22"/>
          <w:szCs w:val="22"/>
        </w:rPr>
        <w:t xml:space="preserve">This does not reduce the responsibility to ensure that adequate steps have been taken to verify identify. </w:t>
      </w:r>
    </w:p>
    <w:p w14:paraId="2E4AC6C7" w14:textId="77777777" w:rsidR="00FD0C6A" w:rsidRPr="00936035" w:rsidRDefault="00FD0C6A" w:rsidP="00932649">
      <w:pPr>
        <w:pStyle w:val="Default"/>
        <w:rPr>
          <w:sz w:val="22"/>
          <w:szCs w:val="22"/>
        </w:rPr>
      </w:pPr>
    </w:p>
    <w:p w14:paraId="6E4888CA" w14:textId="05B88BAD" w:rsidR="00932649" w:rsidRPr="00936035" w:rsidRDefault="00932649" w:rsidP="00932649">
      <w:pPr>
        <w:pStyle w:val="Default"/>
        <w:rPr>
          <w:sz w:val="22"/>
          <w:szCs w:val="22"/>
        </w:rPr>
      </w:pPr>
      <w:r w:rsidRPr="00936035">
        <w:rPr>
          <w:sz w:val="22"/>
          <w:szCs w:val="22"/>
        </w:rPr>
        <w:t xml:space="preserve">Continue to comply with the previous HMLR ID obligations as far as possible. </w:t>
      </w:r>
    </w:p>
    <w:p w14:paraId="13D314FC" w14:textId="23D8D6AC" w:rsidR="00FD0C6A" w:rsidRPr="00936035" w:rsidRDefault="00FD0C6A" w:rsidP="00932649">
      <w:pPr>
        <w:pStyle w:val="Default"/>
        <w:rPr>
          <w:sz w:val="22"/>
          <w:szCs w:val="22"/>
        </w:rPr>
      </w:pPr>
    </w:p>
    <w:p w14:paraId="40EED80B" w14:textId="385FAA7C" w:rsidR="003355A8" w:rsidRPr="005F1614" w:rsidRDefault="00FD0C6A" w:rsidP="005F1614">
      <w:pPr>
        <w:pStyle w:val="NormalWeb"/>
        <w:spacing w:before="150" w:beforeAutospacing="0" w:after="150" w:afterAutospacing="0" w:line="276" w:lineRule="auto"/>
        <w:rPr>
          <w:rFonts w:ascii="Arial" w:hAnsi="Arial" w:cs="Arial"/>
          <w:sz w:val="22"/>
          <w:szCs w:val="22"/>
        </w:rPr>
      </w:pPr>
      <w:r w:rsidRPr="00936035">
        <w:rPr>
          <w:rFonts w:ascii="Arial" w:hAnsi="Arial" w:cs="Arial"/>
          <w:sz w:val="22"/>
          <w:szCs w:val="22"/>
        </w:rPr>
        <w:t xml:space="preserve">Note that HMLR </w:t>
      </w:r>
      <w:hyperlink r:id="rId15" w:tgtFrame="_blank" w:history="1">
        <w:r w:rsidRPr="0062640C">
          <w:rPr>
            <w:rStyle w:val="Hyperlink"/>
            <w:rFonts w:ascii="Arial" w:hAnsi="Arial" w:cs="Arial"/>
            <w:sz w:val="22"/>
            <w:szCs w:val="22"/>
          </w:rPr>
          <w:t>resumed cancelling applications with outstanding requests for information (requisitions) on Monday 16 November 2020</w:t>
        </w:r>
      </w:hyperlink>
      <w:r w:rsidRPr="0062640C">
        <w:rPr>
          <w:rStyle w:val="Hyperlink"/>
          <w:rFonts w:ascii="Arial" w:hAnsi="Arial" w:cs="Arial"/>
          <w:sz w:val="22"/>
          <w:szCs w:val="22"/>
        </w:rPr>
        <w:t xml:space="preserve">. </w:t>
      </w:r>
      <w:r w:rsidRPr="009534BE">
        <w:rPr>
          <w:rFonts w:ascii="Arial" w:hAnsi="Arial" w:cs="Arial"/>
          <w:sz w:val="22"/>
          <w:szCs w:val="22"/>
        </w:rPr>
        <w:t>Failure to comply with outstanding requests from HMLR resulting in the cancellation of applications may result in a firm’s membership of lender panels being at risk.</w:t>
      </w:r>
    </w:p>
    <w:p w14:paraId="6FB48FC3" w14:textId="206D7312" w:rsidR="00932649" w:rsidRDefault="00932649" w:rsidP="00936035">
      <w:pPr>
        <w:pStyle w:val="Default"/>
        <w:numPr>
          <w:ilvl w:val="0"/>
          <w:numId w:val="4"/>
        </w:numPr>
        <w:rPr>
          <w:rFonts w:ascii="Calibri Light" w:hAnsi="Calibri Light" w:cs="Calibri Light"/>
          <w:sz w:val="32"/>
          <w:szCs w:val="32"/>
        </w:rPr>
      </w:pPr>
      <w:r>
        <w:rPr>
          <w:rFonts w:ascii="Calibri Light" w:hAnsi="Calibri Light" w:cs="Calibri Light"/>
          <w:sz w:val="32"/>
          <w:szCs w:val="32"/>
        </w:rPr>
        <w:lastRenderedPageBreak/>
        <w:t xml:space="preserve">Undertakings </w:t>
      </w:r>
    </w:p>
    <w:p w14:paraId="0B8FA303" w14:textId="77777777" w:rsidR="00936035" w:rsidRDefault="00936035" w:rsidP="00936035">
      <w:pPr>
        <w:pStyle w:val="Default"/>
        <w:ind w:left="720"/>
        <w:rPr>
          <w:rFonts w:ascii="Calibri Light" w:hAnsi="Calibri Light" w:cs="Calibri Light"/>
          <w:sz w:val="32"/>
          <w:szCs w:val="32"/>
        </w:rPr>
      </w:pPr>
    </w:p>
    <w:p w14:paraId="7CFC18B5" w14:textId="072904F5" w:rsidR="00932649" w:rsidRDefault="00932649" w:rsidP="00932649">
      <w:pPr>
        <w:pStyle w:val="Default"/>
        <w:rPr>
          <w:sz w:val="22"/>
          <w:szCs w:val="22"/>
        </w:rPr>
      </w:pPr>
      <w:r>
        <w:rPr>
          <w:sz w:val="22"/>
          <w:szCs w:val="22"/>
        </w:rPr>
        <w:t xml:space="preserve">Only give undertakings that can be performed. Performance may be more difficult </w:t>
      </w:r>
      <w:r w:rsidR="00936035">
        <w:rPr>
          <w:sz w:val="22"/>
          <w:szCs w:val="22"/>
        </w:rPr>
        <w:t>as circumstances continue to change.</w:t>
      </w:r>
    </w:p>
    <w:p w14:paraId="4EE6C757" w14:textId="77777777" w:rsidR="00936035" w:rsidRDefault="00936035" w:rsidP="00932649">
      <w:pPr>
        <w:pStyle w:val="Default"/>
        <w:rPr>
          <w:sz w:val="22"/>
          <w:szCs w:val="22"/>
        </w:rPr>
      </w:pPr>
    </w:p>
    <w:p w14:paraId="6E4CD51B" w14:textId="4BAFE599" w:rsidR="00932649" w:rsidRDefault="007D5C08" w:rsidP="00932649">
      <w:pPr>
        <w:pStyle w:val="Default"/>
        <w:rPr>
          <w:sz w:val="22"/>
          <w:szCs w:val="22"/>
        </w:rPr>
      </w:pPr>
      <w:r>
        <w:rPr>
          <w:sz w:val="22"/>
          <w:szCs w:val="22"/>
        </w:rPr>
        <w:t>Continue to a</w:t>
      </w:r>
      <w:r w:rsidR="00932649">
        <w:rPr>
          <w:sz w:val="22"/>
          <w:szCs w:val="22"/>
        </w:rPr>
        <w:t xml:space="preserve">mend the usual undertakings given in conveyancing transactions to suit the circumstances of the transaction as necessary. </w:t>
      </w:r>
    </w:p>
    <w:p w14:paraId="7CC80843" w14:textId="77777777" w:rsidR="00E736D1" w:rsidRDefault="00E736D1" w:rsidP="00932649">
      <w:pPr>
        <w:pStyle w:val="Default"/>
        <w:rPr>
          <w:sz w:val="22"/>
          <w:szCs w:val="22"/>
        </w:rPr>
      </w:pPr>
    </w:p>
    <w:p w14:paraId="149868AB" w14:textId="20F1F58B" w:rsidR="00932649" w:rsidRDefault="00932649" w:rsidP="00932649">
      <w:pPr>
        <w:pStyle w:val="Default"/>
        <w:rPr>
          <w:sz w:val="22"/>
          <w:szCs w:val="22"/>
        </w:rPr>
      </w:pPr>
      <w:r>
        <w:rPr>
          <w:sz w:val="22"/>
          <w:szCs w:val="22"/>
        </w:rPr>
        <w:t xml:space="preserve">For example, the current circumstances may prevent the conveyancer from complying with standard undertakings given under the Law Society Formulae for Exchange and Code for Completion paragraphs 12 and 13. </w:t>
      </w:r>
    </w:p>
    <w:p w14:paraId="7D658B11" w14:textId="77777777" w:rsidR="00E736D1" w:rsidRDefault="00E736D1" w:rsidP="00932649">
      <w:pPr>
        <w:pStyle w:val="Default"/>
        <w:rPr>
          <w:sz w:val="22"/>
          <w:szCs w:val="22"/>
        </w:rPr>
      </w:pPr>
    </w:p>
    <w:p w14:paraId="35F42557" w14:textId="3B950682" w:rsidR="00932649" w:rsidRDefault="00932649" w:rsidP="00932649">
      <w:pPr>
        <w:pStyle w:val="Default"/>
        <w:rPr>
          <w:sz w:val="22"/>
          <w:szCs w:val="22"/>
        </w:rPr>
      </w:pPr>
      <w:r>
        <w:rPr>
          <w:sz w:val="22"/>
          <w:szCs w:val="22"/>
        </w:rPr>
        <w:t xml:space="preserve">Subject to the circumstances, it’s unlikely to be necessary to amend the standard undertakings relating to monies or discharge of charges. </w:t>
      </w:r>
    </w:p>
    <w:p w14:paraId="5F278277" w14:textId="77777777" w:rsidR="00E736D1" w:rsidRDefault="00E736D1" w:rsidP="00932649">
      <w:pPr>
        <w:pStyle w:val="Default"/>
        <w:rPr>
          <w:sz w:val="22"/>
          <w:szCs w:val="22"/>
        </w:rPr>
      </w:pPr>
    </w:p>
    <w:p w14:paraId="72493D70" w14:textId="09C4F5E3" w:rsidR="00932649" w:rsidRDefault="00932649" w:rsidP="00932649">
      <w:pPr>
        <w:pStyle w:val="Default"/>
        <w:rPr>
          <w:sz w:val="22"/>
          <w:szCs w:val="22"/>
        </w:rPr>
      </w:pPr>
      <w:r>
        <w:rPr>
          <w:sz w:val="22"/>
          <w:szCs w:val="22"/>
        </w:rPr>
        <w:t xml:space="preserve">Make sure that you carefully record any variations agreed to the standard undertakings. </w:t>
      </w:r>
    </w:p>
    <w:p w14:paraId="6419B318" w14:textId="77777777" w:rsidR="00E736D1" w:rsidRDefault="00E736D1" w:rsidP="00932649">
      <w:pPr>
        <w:pStyle w:val="Default"/>
        <w:rPr>
          <w:sz w:val="22"/>
          <w:szCs w:val="22"/>
        </w:rPr>
      </w:pPr>
    </w:p>
    <w:p w14:paraId="7EC6F2C9" w14:textId="77777777" w:rsidR="00932649" w:rsidRDefault="00932649" w:rsidP="00932649">
      <w:pPr>
        <w:pStyle w:val="Default"/>
        <w:rPr>
          <w:rFonts w:ascii="Calibri Light" w:hAnsi="Calibri Light" w:cs="Calibri Light"/>
          <w:sz w:val="32"/>
          <w:szCs w:val="32"/>
        </w:rPr>
      </w:pPr>
      <w:r>
        <w:rPr>
          <w:rFonts w:ascii="Calibri Light" w:hAnsi="Calibri Light" w:cs="Calibri Light"/>
          <w:sz w:val="32"/>
          <w:szCs w:val="32"/>
        </w:rPr>
        <w:t xml:space="preserve">6. Lenders </w:t>
      </w:r>
    </w:p>
    <w:p w14:paraId="315D0806" w14:textId="48F8914F" w:rsidR="00932649" w:rsidRDefault="00932649" w:rsidP="00932649">
      <w:pPr>
        <w:pStyle w:val="Default"/>
        <w:rPr>
          <w:sz w:val="22"/>
          <w:szCs w:val="22"/>
        </w:rPr>
      </w:pPr>
      <w:r>
        <w:rPr>
          <w:sz w:val="22"/>
          <w:szCs w:val="22"/>
        </w:rPr>
        <w:t xml:space="preserve">Encourage clients to check the status of mortgage offers. </w:t>
      </w:r>
    </w:p>
    <w:p w14:paraId="02EB6BA1" w14:textId="77777777" w:rsidR="00E736D1" w:rsidRDefault="00E736D1" w:rsidP="00932649">
      <w:pPr>
        <w:pStyle w:val="Default"/>
        <w:rPr>
          <w:sz w:val="22"/>
          <w:szCs w:val="22"/>
        </w:rPr>
      </w:pPr>
    </w:p>
    <w:p w14:paraId="5909A386" w14:textId="1C8CB07E" w:rsidR="00932649" w:rsidRDefault="00932649" w:rsidP="00932649">
      <w:pPr>
        <w:pStyle w:val="Default"/>
        <w:rPr>
          <w:sz w:val="22"/>
          <w:szCs w:val="22"/>
        </w:rPr>
      </w:pPr>
      <w:r>
        <w:rPr>
          <w:sz w:val="22"/>
          <w:szCs w:val="22"/>
        </w:rPr>
        <w:t xml:space="preserve">The lender may want to review the client’s financial position as changes are made to furloughing provisions etc. </w:t>
      </w:r>
    </w:p>
    <w:p w14:paraId="5C5BA3AC" w14:textId="77777777" w:rsidR="00E736D1" w:rsidRDefault="00E736D1" w:rsidP="00932649">
      <w:pPr>
        <w:pStyle w:val="Default"/>
        <w:rPr>
          <w:sz w:val="22"/>
          <w:szCs w:val="22"/>
        </w:rPr>
      </w:pPr>
    </w:p>
    <w:p w14:paraId="61D3213F" w14:textId="77777777" w:rsidR="00932649" w:rsidRDefault="00932649" w:rsidP="00932649">
      <w:pPr>
        <w:pStyle w:val="Default"/>
        <w:rPr>
          <w:sz w:val="22"/>
          <w:szCs w:val="22"/>
        </w:rPr>
      </w:pPr>
      <w:r>
        <w:rPr>
          <w:sz w:val="22"/>
          <w:szCs w:val="22"/>
        </w:rPr>
        <w:t xml:space="preserve">Some lenders may be prepared to lend less in relation to value. </w:t>
      </w:r>
    </w:p>
    <w:p w14:paraId="00558A90" w14:textId="77777777" w:rsidR="00843B1A" w:rsidRDefault="00843B1A" w:rsidP="00932649">
      <w:pPr>
        <w:pStyle w:val="Default"/>
        <w:rPr>
          <w:sz w:val="18"/>
          <w:szCs w:val="18"/>
        </w:rPr>
      </w:pPr>
    </w:p>
    <w:p w14:paraId="6B291397" w14:textId="77777777" w:rsidR="00843B1A" w:rsidRDefault="00843B1A" w:rsidP="00932649">
      <w:pPr>
        <w:pStyle w:val="Default"/>
        <w:rPr>
          <w:sz w:val="18"/>
          <w:szCs w:val="18"/>
        </w:rPr>
      </w:pPr>
    </w:p>
    <w:p w14:paraId="10DD9F89" w14:textId="6CB15C26" w:rsidR="00932649" w:rsidRDefault="00932649" w:rsidP="00932649">
      <w:pPr>
        <w:pStyle w:val="Default"/>
        <w:rPr>
          <w:rFonts w:ascii="Calibri Light" w:hAnsi="Calibri Light" w:cs="Calibri Light"/>
          <w:sz w:val="32"/>
          <w:szCs w:val="32"/>
        </w:rPr>
      </w:pPr>
      <w:r>
        <w:rPr>
          <w:rFonts w:ascii="Calibri Light" w:hAnsi="Calibri Light" w:cs="Calibri Light"/>
          <w:sz w:val="32"/>
          <w:szCs w:val="32"/>
        </w:rPr>
        <w:t xml:space="preserve">7. Exchanging contracts and Code for Completion </w:t>
      </w:r>
    </w:p>
    <w:p w14:paraId="213E03A4" w14:textId="77777777" w:rsidR="00932649" w:rsidRDefault="00932649" w:rsidP="00932649">
      <w:pPr>
        <w:pStyle w:val="Default"/>
        <w:rPr>
          <w:sz w:val="22"/>
          <w:szCs w:val="22"/>
        </w:rPr>
      </w:pPr>
      <w:r>
        <w:rPr>
          <w:sz w:val="22"/>
          <w:szCs w:val="22"/>
        </w:rPr>
        <w:t xml:space="preserve">• Consider the impact of the changed circumstances on the transaction </w:t>
      </w:r>
    </w:p>
    <w:p w14:paraId="631E7F3F" w14:textId="77777777" w:rsidR="00932649" w:rsidRDefault="00932649" w:rsidP="00932649">
      <w:pPr>
        <w:pStyle w:val="Default"/>
        <w:rPr>
          <w:sz w:val="22"/>
          <w:szCs w:val="22"/>
        </w:rPr>
      </w:pPr>
      <w:r>
        <w:rPr>
          <w:sz w:val="22"/>
          <w:szCs w:val="22"/>
        </w:rPr>
        <w:t xml:space="preserve">• Establish exactly how exchange will take place </w:t>
      </w:r>
    </w:p>
    <w:p w14:paraId="24047778" w14:textId="77777777" w:rsidR="00932649" w:rsidRDefault="00932649" w:rsidP="00932649">
      <w:pPr>
        <w:pStyle w:val="Default"/>
        <w:rPr>
          <w:sz w:val="22"/>
          <w:szCs w:val="22"/>
        </w:rPr>
      </w:pPr>
      <w:r>
        <w:rPr>
          <w:sz w:val="22"/>
          <w:szCs w:val="22"/>
        </w:rPr>
        <w:t xml:space="preserve">• Establish exactly how and when completion will take place taking account of social distancing </w:t>
      </w:r>
    </w:p>
    <w:p w14:paraId="550B6A97" w14:textId="5839B7E9" w:rsidR="00932649" w:rsidRDefault="00932649" w:rsidP="00932649">
      <w:pPr>
        <w:pStyle w:val="Default"/>
        <w:rPr>
          <w:sz w:val="22"/>
          <w:szCs w:val="22"/>
        </w:rPr>
      </w:pPr>
      <w:r>
        <w:rPr>
          <w:sz w:val="22"/>
          <w:szCs w:val="22"/>
        </w:rPr>
        <w:t xml:space="preserve">• Be careful not to effect an exchange of contracts if you do not intend to do this. Exchange of emails may constitute a valid exchange of contracts (see </w:t>
      </w:r>
      <w:proofErr w:type="spellStart"/>
      <w:r>
        <w:rPr>
          <w:i/>
          <w:iCs/>
          <w:sz w:val="22"/>
          <w:szCs w:val="22"/>
        </w:rPr>
        <w:t>Neocleous</w:t>
      </w:r>
      <w:proofErr w:type="spellEnd"/>
      <w:r>
        <w:rPr>
          <w:i/>
          <w:iCs/>
          <w:sz w:val="22"/>
          <w:szCs w:val="22"/>
        </w:rPr>
        <w:t xml:space="preserve"> v Rees [2019] EWHC 2462 (Ch)</w:t>
      </w:r>
      <w:r>
        <w:rPr>
          <w:sz w:val="22"/>
          <w:szCs w:val="22"/>
        </w:rPr>
        <w:t xml:space="preserve">) under section 2 of the Law of Property (Miscellaneous Provisions) Act 1989 </w:t>
      </w:r>
    </w:p>
    <w:p w14:paraId="32051785" w14:textId="4B844CC0" w:rsidR="00932649" w:rsidRDefault="00932649" w:rsidP="00932649">
      <w:pPr>
        <w:pStyle w:val="Default"/>
        <w:rPr>
          <w:sz w:val="22"/>
          <w:szCs w:val="22"/>
        </w:rPr>
      </w:pPr>
      <w:r>
        <w:rPr>
          <w:sz w:val="22"/>
          <w:szCs w:val="22"/>
        </w:rPr>
        <w:t>• Establish whether standard conditions in the Standard Conditions of Sale need to be amended in the contract; for example</w:t>
      </w:r>
      <w:r w:rsidR="004F40FC">
        <w:rPr>
          <w:sz w:val="22"/>
          <w:szCs w:val="22"/>
        </w:rPr>
        <w:t>,</w:t>
      </w:r>
      <w:r>
        <w:rPr>
          <w:sz w:val="22"/>
          <w:szCs w:val="22"/>
        </w:rPr>
        <w:t xml:space="preserve"> condition 1.3 in relation to ‘Notices and documents’ </w:t>
      </w:r>
    </w:p>
    <w:p w14:paraId="528459C4" w14:textId="77777777" w:rsidR="004F40FC" w:rsidRDefault="00932649" w:rsidP="00932649">
      <w:pPr>
        <w:pStyle w:val="Default"/>
        <w:rPr>
          <w:sz w:val="22"/>
          <w:szCs w:val="22"/>
        </w:rPr>
      </w:pPr>
      <w:r>
        <w:rPr>
          <w:sz w:val="22"/>
          <w:szCs w:val="22"/>
        </w:rPr>
        <w:t xml:space="preserve">• Agreeing the completion date needs thought – the date needs to accommodate: </w:t>
      </w:r>
    </w:p>
    <w:p w14:paraId="08641C0A" w14:textId="2D814016" w:rsidR="00932649" w:rsidRDefault="00932649" w:rsidP="00932649">
      <w:pPr>
        <w:pStyle w:val="Default"/>
        <w:rPr>
          <w:sz w:val="22"/>
          <w:szCs w:val="22"/>
        </w:rPr>
      </w:pPr>
      <w:r>
        <w:rPr>
          <w:rFonts w:ascii="Courier New" w:hAnsi="Courier New" w:cs="Courier New"/>
          <w:sz w:val="22"/>
          <w:szCs w:val="22"/>
        </w:rPr>
        <w:t xml:space="preserve">o </w:t>
      </w:r>
      <w:r>
        <w:rPr>
          <w:sz w:val="22"/>
          <w:szCs w:val="22"/>
        </w:rPr>
        <w:t xml:space="preserve">the circumstances of the transaction </w:t>
      </w:r>
    </w:p>
    <w:p w14:paraId="0394737E" w14:textId="48EB6B82" w:rsidR="00932649" w:rsidRDefault="00932649" w:rsidP="00932649">
      <w:pPr>
        <w:pStyle w:val="Default"/>
        <w:rPr>
          <w:sz w:val="22"/>
          <w:szCs w:val="22"/>
        </w:rPr>
      </w:pPr>
      <w:r>
        <w:rPr>
          <w:rFonts w:ascii="Courier New" w:hAnsi="Courier New" w:cs="Courier New"/>
          <w:sz w:val="22"/>
          <w:szCs w:val="22"/>
        </w:rPr>
        <w:t xml:space="preserve">o </w:t>
      </w:r>
      <w:r w:rsidR="007A033C">
        <w:rPr>
          <w:sz w:val="22"/>
          <w:szCs w:val="22"/>
        </w:rPr>
        <w:t>further</w:t>
      </w:r>
      <w:r w:rsidR="00833605">
        <w:rPr>
          <w:sz w:val="22"/>
          <w:szCs w:val="22"/>
        </w:rPr>
        <w:t xml:space="preserve"> </w:t>
      </w:r>
      <w:r>
        <w:rPr>
          <w:sz w:val="22"/>
          <w:szCs w:val="22"/>
        </w:rPr>
        <w:t>wave</w:t>
      </w:r>
      <w:r w:rsidR="007A033C">
        <w:rPr>
          <w:sz w:val="22"/>
          <w:szCs w:val="22"/>
        </w:rPr>
        <w:t>s</w:t>
      </w:r>
      <w:r>
        <w:rPr>
          <w:sz w:val="22"/>
          <w:szCs w:val="22"/>
        </w:rPr>
        <w:t xml:space="preserve"> of COVID-19 that could result in the parties not being able to move </w:t>
      </w:r>
      <w:r w:rsidR="003D2107">
        <w:rPr>
          <w:sz w:val="22"/>
          <w:szCs w:val="22"/>
        </w:rPr>
        <w:t xml:space="preserve">should Government implement a more restrictive lockdown </w:t>
      </w:r>
    </w:p>
    <w:p w14:paraId="5C3F681E" w14:textId="043FBD3A" w:rsidR="00932649" w:rsidRDefault="00932649" w:rsidP="00932649">
      <w:pPr>
        <w:pStyle w:val="Default"/>
        <w:rPr>
          <w:sz w:val="22"/>
          <w:szCs w:val="22"/>
        </w:rPr>
      </w:pPr>
      <w:r>
        <w:rPr>
          <w:rFonts w:ascii="Courier New" w:hAnsi="Courier New" w:cs="Courier New"/>
          <w:sz w:val="22"/>
          <w:szCs w:val="22"/>
        </w:rPr>
        <w:t xml:space="preserve">o </w:t>
      </w:r>
      <w:r>
        <w:rPr>
          <w:sz w:val="22"/>
          <w:szCs w:val="22"/>
        </w:rPr>
        <w:t xml:space="preserve">provision for deferring completion with a longstop date </w:t>
      </w:r>
      <w:r w:rsidR="00342F65">
        <w:rPr>
          <w:sz w:val="22"/>
          <w:szCs w:val="22"/>
        </w:rPr>
        <w:t>(remember that if completion is delayed beyond 31</w:t>
      </w:r>
      <w:r w:rsidR="00342F65" w:rsidRPr="00E35BC2">
        <w:rPr>
          <w:sz w:val="22"/>
          <w:szCs w:val="22"/>
          <w:vertAlign w:val="superscript"/>
        </w:rPr>
        <w:t>st</w:t>
      </w:r>
      <w:r w:rsidR="00342F65">
        <w:rPr>
          <w:sz w:val="22"/>
          <w:szCs w:val="22"/>
        </w:rPr>
        <w:t xml:space="preserve"> March the SDLT liability </w:t>
      </w:r>
      <w:r w:rsidR="00B229AC">
        <w:rPr>
          <w:sz w:val="22"/>
          <w:szCs w:val="22"/>
        </w:rPr>
        <w:t>is likely to</w:t>
      </w:r>
      <w:r w:rsidR="00342F65">
        <w:rPr>
          <w:sz w:val="22"/>
          <w:szCs w:val="22"/>
        </w:rPr>
        <w:t xml:space="preserve"> be different</w:t>
      </w:r>
      <w:r w:rsidR="00FD110A">
        <w:rPr>
          <w:sz w:val="22"/>
          <w:szCs w:val="22"/>
        </w:rPr>
        <w:t>.</w:t>
      </w:r>
      <w:r w:rsidR="00342F65">
        <w:rPr>
          <w:sz w:val="22"/>
          <w:szCs w:val="22"/>
        </w:rPr>
        <w:t xml:space="preserve"> </w:t>
      </w:r>
      <w:r w:rsidR="00FD110A">
        <w:rPr>
          <w:sz w:val="22"/>
          <w:szCs w:val="22"/>
        </w:rPr>
        <w:t>M</w:t>
      </w:r>
      <w:r w:rsidR="00342F65">
        <w:rPr>
          <w:sz w:val="22"/>
          <w:szCs w:val="22"/>
        </w:rPr>
        <w:t>ake sure that clients understand this</w:t>
      </w:r>
      <w:r w:rsidR="00992F8E">
        <w:rPr>
          <w:sz w:val="22"/>
          <w:szCs w:val="22"/>
        </w:rPr>
        <w:t>,</w:t>
      </w:r>
      <w:r w:rsidR="00342F65">
        <w:rPr>
          <w:sz w:val="22"/>
          <w:szCs w:val="22"/>
        </w:rPr>
        <w:t xml:space="preserve"> and the likely amounts involved)</w:t>
      </w:r>
    </w:p>
    <w:p w14:paraId="078A2E61" w14:textId="77777777" w:rsidR="00932649" w:rsidRDefault="00932649" w:rsidP="00932649">
      <w:pPr>
        <w:pStyle w:val="Default"/>
        <w:rPr>
          <w:sz w:val="22"/>
          <w:szCs w:val="22"/>
        </w:rPr>
      </w:pPr>
      <w:r>
        <w:rPr>
          <w:sz w:val="22"/>
          <w:szCs w:val="22"/>
        </w:rPr>
        <w:t xml:space="preserve">• Agree with the other side how the formula for exchange being used needs to be changed to reflect the particular transaction </w:t>
      </w:r>
    </w:p>
    <w:p w14:paraId="5B21ECCB" w14:textId="77777777" w:rsidR="00932649" w:rsidRDefault="00932649" w:rsidP="00932649">
      <w:pPr>
        <w:pStyle w:val="Default"/>
        <w:rPr>
          <w:sz w:val="22"/>
          <w:szCs w:val="22"/>
        </w:rPr>
      </w:pPr>
      <w:r>
        <w:rPr>
          <w:sz w:val="22"/>
          <w:szCs w:val="22"/>
        </w:rPr>
        <w:t xml:space="preserve">• Make changes in writing and record the agreement with the other side </w:t>
      </w:r>
    </w:p>
    <w:p w14:paraId="50570DA3" w14:textId="77777777" w:rsidR="00811CE9" w:rsidRDefault="00932649" w:rsidP="00932649">
      <w:pPr>
        <w:pStyle w:val="Default"/>
        <w:rPr>
          <w:sz w:val="22"/>
          <w:szCs w:val="22"/>
        </w:rPr>
      </w:pPr>
      <w:r>
        <w:rPr>
          <w:sz w:val="22"/>
          <w:szCs w:val="22"/>
        </w:rPr>
        <w:t xml:space="preserve">• If exchange of contracts is to take place under one of the formulae for exchange, the formula may need to be amended to agree before exchange, for example, how the contracts will be or have been signed: </w:t>
      </w:r>
    </w:p>
    <w:p w14:paraId="3F86125F" w14:textId="3A61ADD8" w:rsidR="00932649" w:rsidRDefault="00932649" w:rsidP="00932649">
      <w:pPr>
        <w:pStyle w:val="Default"/>
        <w:rPr>
          <w:sz w:val="22"/>
          <w:szCs w:val="22"/>
        </w:rPr>
      </w:pPr>
      <w:r>
        <w:rPr>
          <w:rFonts w:ascii="Courier New" w:hAnsi="Courier New" w:cs="Courier New"/>
          <w:sz w:val="22"/>
          <w:szCs w:val="22"/>
        </w:rPr>
        <w:t xml:space="preserve">o </w:t>
      </w:r>
      <w:r>
        <w:rPr>
          <w:sz w:val="22"/>
          <w:szCs w:val="22"/>
        </w:rPr>
        <w:t xml:space="preserve">by the solicitor with written authority form the client/consumer </w:t>
      </w:r>
    </w:p>
    <w:p w14:paraId="157B8C33" w14:textId="77777777" w:rsidR="00932649" w:rsidRDefault="00932649" w:rsidP="00932649">
      <w:pPr>
        <w:pStyle w:val="Default"/>
        <w:rPr>
          <w:sz w:val="22"/>
          <w:szCs w:val="22"/>
        </w:rPr>
      </w:pPr>
      <w:r>
        <w:rPr>
          <w:rFonts w:ascii="Courier New" w:hAnsi="Courier New" w:cs="Courier New"/>
          <w:sz w:val="22"/>
          <w:szCs w:val="22"/>
        </w:rPr>
        <w:t xml:space="preserve">o </w:t>
      </w:r>
      <w:r>
        <w:rPr>
          <w:sz w:val="22"/>
          <w:szCs w:val="22"/>
        </w:rPr>
        <w:t xml:space="preserve">wet ink signature from client/consumer </w:t>
      </w:r>
    </w:p>
    <w:p w14:paraId="3FBE3128" w14:textId="77777777" w:rsidR="00932649" w:rsidRDefault="00932649" w:rsidP="00932649">
      <w:pPr>
        <w:pStyle w:val="Default"/>
        <w:rPr>
          <w:sz w:val="22"/>
          <w:szCs w:val="22"/>
        </w:rPr>
      </w:pPr>
      <w:r>
        <w:rPr>
          <w:rFonts w:ascii="Courier New" w:hAnsi="Courier New" w:cs="Courier New"/>
          <w:sz w:val="22"/>
          <w:szCs w:val="22"/>
        </w:rPr>
        <w:t xml:space="preserve">o </w:t>
      </w:r>
      <w:r>
        <w:rPr>
          <w:sz w:val="22"/>
          <w:szCs w:val="22"/>
        </w:rPr>
        <w:t xml:space="preserve">PDF in accordance with the practice note on virtual signings </w:t>
      </w:r>
    </w:p>
    <w:p w14:paraId="41DB66D0" w14:textId="2779D034" w:rsidR="00932649" w:rsidRDefault="00932649" w:rsidP="00932649">
      <w:pPr>
        <w:pStyle w:val="Default"/>
        <w:rPr>
          <w:sz w:val="22"/>
          <w:szCs w:val="22"/>
        </w:rPr>
      </w:pPr>
      <w:r>
        <w:rPr>
          <w:rFonts w:ascii="Courier New" w:hAnsi="Courier New" w:cs="Courier New"/>
          <w:sz w:val="22"/>
          <w:szCs w:val="22"/>
        </w:rPr>
        <w:lastRenderedPageBreak/>
        <w:t xml:space="preserve">o </w:t>
      </w:r>
      <w:r>
        <w:rPr>
          <w:sz w:val="22"/>
          <w:szCs w:val="22"/>
        </w:rPr>
        <w:t xml:space="preserve">by third party digital signature provider </w:t>
      </w:r>
    </w:p>
    <w:p w14:paraId="19041FFE" w14:textId="77777777" w:rsidR="00932649" w:rsidRDefault="00932649" w:rsidP="00932649">
      <w:pPr>
        <w:pStyle w:val="Default"/>
        <w:rPr>
          <w:sz w:val="22"/>
          <w:szCs w:val="22"/>
        </w:rPr>
      </w:pPr>
      <w:r>
        <w:rPr>
          <w:sz w:val="22"/>
          <w:szCs w:val="22"/>
        </w:rPr>
        <w:t xml:space="preserve">• that, for example, once holding the clients’ contract with wet ink signature or electronic signature, it will be scanned and emailed to effect exchange. The undertakings may need to be altered to confirm that the original documents will be sent when it’s reasonably possible </w:t>
      </w:r>
    </w:p>
    <w:p w14:paraId="4E4C125D" w14:textId="77777777" w:rsidR="00932649" w:rsidRDefault="00932649" w:rsidP="00932649">
      <w:pPr>
        <w:pStyle w:val="Default"/>
        <w:rPr>
          <w:sz w:val="22"/>
          <w:szCs w:val="22"/>
        </w:rPr>
      </w:pPr>
    </w:p>
    <w:p w14:paraId="7E63B6AC" w14:textId="77777777" w:rsidR="00932649" w:rsidRDefault="00932649" w:rsidP="00932649">
      <w:pPr>
        <w:pStyle w:val="Default"/>
        <w:rPr>
          <w:rFonts w:ascii="Calibri Light" w:hAnsi="Calibri Light" w:cs="Calibri Light"/>
          <w:sz w:val="32"/>
          <w:szCs w:val="32"/>
        </w:rPr>
      </w:pPr>
      <w:r>
        <w:rPr>
          <w:rFonts w:ascii="Calibri Light" w:hAnsi="Calibri Light" w:cs="Calibri Light"/>
          <w:sz w:val="32"/>
          <w:szCs w:val="32"/>
        </w:rPr>
        <w:t xml:space="preserve">8. Before agreeing completion dates </w:t>
      </w:r>
    </w:p>
    <w:p w14:paraId="5263ECC7" w14:textId="77777777" w:rsidR="00932649" w:rsidRDefault="00932649" w:rsidP="00932649">
      <w:pPr>
        <w:pStyle w:val="Default"/>
        <w:rPr>
          <w:sz w:val="22"/>
          <w:szCs w:val="22"/>
        </w:rPr>
      </w:pPr>
      <w:r>
        <w:rPr>
          <w:sz w:val="22"/>
          <w:szCs w:val="22"/>
        </w:rPr>
        <w:t xml:space="preserve">• Ask clients to check they will have enough time to transfer monies, as online banking limits might mean there are restrictions on the amount they can transfer on one day (sometimes £10,000) </w:t>
      </w:r>
    </w:p>
    <w:p w14:paraId="5E7F77B7" w14:textId="77777777" w:rsidR="00932649" w:rsidRDefault="00932649" w:rsidP="00932649">
      <w:pPr>
        <w:pStyle w:val="Default"/>
        <w:rPr>
          <w:sz w:val="22"/>
          <w:szCs w:val="22"/>
        </w:rPr>
      </w:pPr>
      <w:r>
        <w:rPr>
          <w:sz w:val="22"/>
          <w:szCs w:val="22"/>
        </w:rPr>
        <w:t xml:space="preserve">• Ask clients to check with their removers and the other party that the property will be vacated before the buyer and their removers arrive. It’s not possible to guarantee this but having the conversation may alert everyone to the additional time that may be required </w:t>
      </w:r>
    </w:p>
    <w:p w14:paraId="5B20971F" w14:textId="313FD2BA" w:rsidR="00932649" w:rsidRDefault="00932649" w:rsidP="00932649">
      <w:pPr>
        <w:pStyle w:val="Default"/>
        <w:rPr>
          <w:sz w:val="22"/>
          <w:szCs w:val="22"/>
        </w:rPr>
      </w:pPr>
      <w:r>
        <w:rPr>
          <w:sz w:val="22"/>
          <w:szCs w:val="22"/>
        </w:rPr>
        <w:t xml:space="preserve">• Suggest clients check the terms and conditions of their contract with removers. Some may include penalty payments for late </w:t>
      </w:r>
      <w:r w:rsidR="00992F8E">
        <w:rPr>
          <w:sz w:val="22"/>
          <w:szCs w:val="22"/>
        </w:rPr>
        <w:t>cancellations,</w:t>
      </w:r>
      <w:r>
        <w:rPr>
          <w:sz w:val="22"/>
          <w:szCs w:val="22"/>
        </w:rPr>
        <w:t xml:space="preserve"> and some have hourly, rather than fixed, rates after certain times in the day have passed </w:t>
      </w:r>
    </w:p>
    <w:p w14:paraId="0C5272D5" w14:textId="77777777" w:rsidR="00932649" w:rsidRDefault="00932649" w:rsidP="00932649">
      <w:pPr>
        <w:pStyle w:val="Default"/>
        <w:rPr>
          <w:sz w:val="22"/>
          <w:szCs w:val="22"/>
        </w:rPr>
      </w:pPr>
      <w:r>
        <w:rPr>
          <w:sz w:val="22"/>
          <w:szCs w:val="22"/>
        </w:rPr>
        <w:t xml:space="preserve">• Consider asking any mortgage lender and the client to confirm that funds will be paid into the client account by close of business on the working day before the completion date with the aim of reducing delays on the completion date. Some lenders are taking longer to release funds </w:t>
      </w:r>
    </w:p>
    <w:p w14:paraId="520BFE70" w14:textId="77777777" w:rsidR="00932649" w:rsidRDefault="00932649" w:rsidP="00932649">
      <w:pPr>
        <w:pStyle w:val="Default"/>
        <w:rPr>
          <w:sz w:val="22"/>
          <w:szCs w:val="22"/>
        </w:rPr>
      </w:pPr>
      <w:r>
        <w:rPr>
          <w:sz w:val="22"/>
          <w:szCs w:val="22"/>
        </w:rPr>
        <w:t xml:space="preserve">• Where possible, agree a mechanism with the other party’s conveyancer for monies to be transferred through the chain of transactions on undertakings before completion with co-ordinated funds and keys release, to provide as much certainty as possible for the time of the completion. This will enable removers to plan and conduct a safe move for clients </w:t>
      </w:r>
    </w:p>
    <w:p w14:paraId="312CFD35" w14:textId="77777777" w:rsidR="00932649" w:rsidRDefault="00932649" w:rsidP="00932649">
      <w:pPr>
        <w:pStyle w:val="Default"/>
        <w:rPr>
          <w:sz w:val="22"/>
          <w:szCs w:val="22"/>
        </w:rPr>
      </w:pPr>
    </w:p>
    <w:p w14:paraId="25FAB106" w14:textId="77777777" w:rsidR="00932649" w:rsidRDefault="00932649" w:rsidP="00932649">
      <w:pPr>
        <w:pStyle w:val="Default"/>
        <w:rPr>
          <w:sz w:val="22"/>
          <w:szCs w:val="22"/>
        </w:rPr>
      </w:pPr>
      <w:r>
        <w:rPr>
          <w:b/>
          <w:bCs/>
          <w:sz w:val="22"/>
          <w:szCs w:val="22"/>
        </w:rPr>
        <w:t xml:space="preserve">Simultaneous exchange and completion </w:t>
      </w:r>
    </w:p>
    <w:p w14:paraId="1D65F3B2" w14:textId="0CDA6F50" w:rsidR="00932649" w:rsidRDefault="00932649" w:rsidP="00932649">
      <w:pPr>
        <w:pStyle w:val="Default"/>
        <w:rPr>
          <w:sz w:val="22"/>
          <w:szCs w:val="22"/>
        </w:rPr>
      </w:pPr>
      <w:r>
        <w:rPr>
          <w:sz w:val="22"/>
          <w:szCs w:val="22"/>
        </w:rPr>
        <w:t xml:space="preserve">Some firms recommend to clients that they should exchange contracts simultaneously with completion. </w:t>
      </w:r>
    </w:p>
    <w:p w14:paraId="32ECFC92" w14:textId="77777777" w:rsidR="007903C0" w:rsidRDefault="007903C0" w:rsidP="00932649">
      <w:pPr>
        <w:pStyle w:val="Default"/>
        <w:rPr>
          <w:sz w:val="22"/>
          <w:szCs w:val="22"/>
        </w:rPr>
      </w:pPr>
    </w:p>
    <w:p w14:paraId="0750F305" w14:textId="32F20E43" w:rsidR="00964E11" w:rsidRPr="00865B5F" w:rsidRDefault="00932649" w:rsidP="00932649">
      <w:pPr>
        <w:pStyle w:val="Default"/>
        <w:rPr>
          <w:sz w:val="22"/>
          <w:szCs w:val="22"/>
        </w:rPr>
      </w:pPr>
      <w:r>
        <w:rPr>
          <w:sz w:val="22"/>
          <w:szCs w:val="22"/>
        </w:rPr>
        <w:t>This solves some problems – for example, the risk of completion not happening is reduced – but creates others: for example, if there’s a chain, all transactions would need to agree simultaneous exchange and completion which may be difficult and may not always be suitable</w:t>
      </w:r>
      <w:r w:rsidR="00CB2575">
        <w:rPr>
          <w:sz w:val="22"/>
          <w:szCs w:val="22"/>
        </w:rPr>
        <w:t>.</w:t>
      </w:r>
      <w:r w:rsidR="00865B5F">
        <w:rPr>
          <w:sz w:val="22"/>
          <w:szCs w:val="22"/>
        </w:rPr>
        <w:t xml:space="preserve"> </w:t>
      </w:r>
      <w:r w:rsidR="009C65D9">
        <w:rPr>
          <w:sz w:val="22"/>
          <w:szCs w:val="22"/>
        </w:rPr>
        <w:t>Exchanging and completing on the same day can be very difficult for consumers to manage.</w:t>
      </w:r>
      <w:r w:rsidR="00964E11" w:rsidRPr="007903C0">
        <w:rPr>
          <w:sz w:val="22"/>
          <w:szCs w:val="22"/>
        </w:rPr>
        <w:t xml:space="preserve"> </w:t>
      </w:r>
      <w:r w:rsidR="00342F65">
        <w:rPr>
          <w:sz w:val="22"/>
          <w:szCs w:val="22"/>
        </w:rPr>
        <w:t>It may be difficult to organise removers at the last moment.</w:t>
      </w:r>
    </w:p>
    <w:p w14:paraId="6B42B633" w14:textId="57165303" w:rsidR="00932649" w:rsidRDefault="00932649" w:rsidP="00932649">
      <w:pPr>
        <w:pStyle w:val="Default"/>
        <w:rPr>
          <w:sz w:val="22"/>
          <w:szCs w:val="22"/>
        </w:rPr>
      </w:pPr>
      <w:r>
        <w:rPr>
          <w:sz w:val="22"/>
          <w:szCs w:val="22"/>
        </w:rPr>
        <w:t xml:space="preserve"> </w:t>
      </w:r>
    </w:p>
    <w:p w14:paraId="7954A7C1" w14:textId="1DF85B18" w:rsidR="00932649" w:rsidRDefault="00932649" w:rsidP="00932649">
      <w:pPr>
        <w:pStyle w:val="Default"/>
        <w:rPr>
          <w:sz w:val="22"/>
          <w:szCs w:val="22"/>
        </w:rPr>
      </w:pPr>
      <w:r>
        <w:rPr>
          <w:sz w:val="22"/>
          <w:szCs w:val="22"/>
        </w:rPr>
        <w:t xml:space="preserve">Some firms suggest that encouraging clients to agree a date for exchange and completion a week or so in advance, enables them to start packing up and booking removers for a fixed future date. </w:t>
      </w:r>
    </w:p>
    <w:p w14:paraId="5BCB6E13" w14:textId="77777777" w:rsidR="00E2095B" w:rsidRDefault="00E2095B" w:rsidP="00932649">
      <w:pPr>
        <w:pStyle w:val="Default"/>
        <w:rPr>
          <w:sz w:val="22"/>
          <w:szCs w:val="22"/>
        </w:rPr>
      </w:pPr>
    </w:p>
    <w:p w14:paraId="3FB4803D" w14:textId="264ABE3F" w:rsidR="00932649" w:rsidRDefault="00932649" w:rsidP="00932649">
      <w:pPr>
        <w:pStyle w:val="Default"/>
        <w:rPr>
          <w:sz w:val="22"/>
          <w:szCs w:val="22"/>
        </w:rPr>
      </w:pPr>
      <w:r>
        <w:rPr>
          <w:sz w:val="22"/>
          <w:szCs w:val="22"/>
        </w:rPr>
        <w:t xml:space="preserve">There are obviously still risks with this approach and some removers may not make a booking unless contracts have been exchanged. </w:t>
      </w:r>
    </w:p>
    <w:p w14:paraId="1C714D95" w14:textId="77777777" w:rsidR="00E2095B" w:rsidRDefault="00E2095B" w:rsidP="00932649">
      <w:pPr>
        <w:pStyle w:val="Default"/>
        <w:rPr>
          <w:sz w:val="22"/>
          <w:szCs w:val="22"/>
        </w:rPr>
      </w:pPr>
    </w:p>
    <w:p w14:paraId="0AA87802" w14:textId="41BA06AD" w:rsidR="00932649" w:rsidRDefault="00932649" w:rsidP="00932649">
      <w:pPr>
        <w:pStyle w:val="Default"/>
        <w:rPr>
          <w:sz w:val="22"/>
          <w:szCs w:val="22"/>
        </w:rPr>
      </w:pPr>
      <w:r>
        <w:rPr>
          <w:sz w:val="22"/>
          <w:szCs w:val="22"/>
        </w:rPr>
        <w:t xml:space="preserve">The risks need to be assessed against the risks of having a short time between exchange and completion. </w:t>
      </w:r>
    </w:p>
    <w:p w14:paraId="189EE182" w14:textId="77777777" w:rsidR="00E2095B" w:rsidRDefault="00E2095B" w:rsidP="00932649">
      <w:pPr>
        <w:pStyle w:val="Default"/>
        <w:rPr>
          <w:sz w:val="22"/>
          <w:szCs w:val="22"/>
        </w:rPr>
      </w:pPr>
    </w:p>
    <w:p w14:paraId="7C10A204" w14:textId="77777777" w:rsidR="00932649" w:rsidRDefault="00932649" w:rsidP="00932649">
      <w:pPr>
        <w:pStyle w:val="Default"/>
        <w:rPr>
          <w:sz w:val="22"/>
          <w:szCs w:val="22"/>
        </w:rPr>
      </w:pPr>
      <w:r>
        <w:rPr>
          <w:b/>
          <w:bCs/>
          <w:sz w:val="22"/>
          <w:szCs w:val="22"/>
        </w:rPr>
        <w:t xml:space="preserve">Short period between exchange and completion </w:t>
      </w:r>
    </w:p>
    <w:p w14:paraId="3E2EB70D" w14:textId="77777777" w:rsidR="00E2095B" w:rsidRDefault="00E2095B" w:rsidP="00932649">
      <w:pPr>
        <w:pStyle w:val="Default"/>
        <w:rPr>
          <w:sz w:val="22"/>
          <w:szCs w:val="22"/>
        </w:rPr>
      </w:pPr>
    </w:p>
    <w:p w14:paraId="2524639F" w14:textId="223DF6B8" w:rsidR="00932649" w:rsidRDefault="00932649" w:rsidP="00932649">
      <w:pPr>
        <w:pStyle w:val="Default"/>
        <w:rPr>
          <w:sz w:val="22"/>
          <w:szCs w:val="22"/>
        </w:rPr>
      </w:pPr>
      <w:r>
        <w:rPr>
          <w:sz w:val="22"/>
          <w:szCs w:val="22"/>
        </w:rPr>
        <w:t xml:space="preserve">Keeping the period between exchange and completion short might provide a compromise. </w:t>
      </w:r>
    </w:p>
    <w:p w14:paraId="000EA175" w14:textId="77777777" w:rsidR="00932649" w:rsidRDefault="00932649" w:rsidP="00932649">
      <w:pPr>
        <w:pStyle w:val="Default"/>
        <w:rPr>
          <w:sz w:val="22"/>
          <w:szCs w:val="22"/>
        </w:rPr>
      </w:pPr>
      <w:r>
        <w:rPr>
          <w:sz w:val="22"/>
          <w:szCs w:val="22"/>
        </w:rPr>
        <w:t xml:space="preserve">A practical approach might be to limit the period between exchange and completion to five working days, having submitted the certificate on title and obtained clear final searches ahead of exchange; but these matters are all for negotiation once the client has provided instructions. </w:t>
      </w:r>
    </w:p>
    <w:p w14:paraId="4DCDB464" w14:textId="77777777" w:rsidR="00D46950" w:rsidRDefault="00D46950" w:rsidP="00932649">
      <w:pPr>
        <w:pStyle w:val="Default"/>
        <w:rPr>
          <w:sz w:val="18"/>
          <w:szCs w:val="18"/>
        </w:rPr>
      </w:pPr>
    </w:p>
    <w:p w14:paraId="6A321C61" w14:textId="678E4CBF" w:rsidR="00932649" w:rsidRDefault="00932649" w:rsidP="00932649">
      <w:pPr>
        <w:pStyle w:val="Default"/>
        <w:rPr>
          <w:sz w:val="22"/>
          <w:szCs w:val="22"/>
        </w:rPr>
      </w:pPr>
      <w:r>
        <w:rPr>
          <w:sz w:val="22"/>
          <w:szCs w:val="22"/>
        </w:rPr>
        <w:lastRenderedPageBreak/>
        <w:t xml:space="preserve">Even having a short period of time between exchange and completion does not eliminate the possibility that someone may become ill or receive a test result in this time and not be able to move. The transaction may need to be paused at short notice. </w:t>
      </w:r>
    </w:p>
    <w:p w14:paraId="59233538" w14:textId="77777777" w:rsidR="00D46950" w:rsidRDefault="00D46950" w:rsidP="00932649">
      <w:pPr>
        <w:pStyle w:val="Default"/>
        <w:rPr>
          <w:sz w:val="22"/>
          <w:szCs w:val="22"/>
        </w:rPr>
      </w:pPr>
    </w:p>
    <w:p w14:paraId="1F77A7BB" w14:textId="36BD8C85" w:rsidR="00932649" w:rsidRDefault="00932649" w:rsidP="00932649">
      <w:pPr>
        <w:pStyle w:val="Default"/>
        <w:rPr>
          <w:sz w:val="22"/>
          <w:szCs w:val="22"/>
        </w:rPr>
      </w:pPr>
      <w:r>
        <w:rPr>
          <w:sz w:val="22"/>
          <w:szCs w:val="22"/>
        </w:rPr>
        <w:t xml:space="preserve">Remember where a client is buying and selling simultaneously any bespoke provisions should usually apply throughout the chain. Risk should be apportioned fairly. </w:t>
      </w:r>
    </w:p>
    <w:p w14:paraId="20C4A8BA" w14:textId="77777777" w:rsidR="00D46950" w:rsidRDefault="00D46950" w:rsidP="00932649">
      <w:pPr>
        <w:pStyle w:val="Default"/>
        <w:rPr>
          <w:sz w:val="22"/>
          <w:szCs w:val="22"/>
        </w:rPr>
      </w:pPr>
    </w:p>
    <w:p w14:paraId="4C6A7964" w14:textId="3389BC51" w:rsidR="00932649" w:rsidRDefault="00932649" w:rsidP="00932649">
      <w:pPr>
        <w:pStyle w:val="Default"/>
        <w:rPr>
          <w:sz w:val="22"/>
          <w:szCs w:val="22"/>
        </w:rPr>
      </w:pPr>
      <w:r>
        <w:rPr>
          <w:sz w:val="22"/>
          <w:szCs w:val="22"/>
        </w:rPr>
        <w:t xml:space="preserve">The aim is to provide the same solution and let the risk fall in the same place across the chain. It’s acknowledged that this may be difficult to negotiate. </w:t>
      </w:r>
    </w:p>
    <w:p w14:paraId="460A339C" w14:textId="77777777" w:rsidR="00D46950" w:rsidRDefault="00D46950" w:rsidP="00932649">
      <w:pPr>
        <w:pStyle w:val="Default"/>
        <w:rPr>
          <w:sz w:val="22"/>
          <w:szCs w:val="22"/>
        </w:rPr>
      </w:pPr>
    </w:p>
    <w:p w14:paraId="2BBFBD9B" w14:textId="77777777" w:rsidR="00932649" w:rsidRDefault="00932649" w:rsidP="00932649">
      <w:pPr>
        <w:pStyle w:val="Default"/>
        <w:rPr>
          <w:rFonts w:ascii="Calibri Light" w:hAnsi="Calibri Light" w:cs="Calibri Light"/>
          <w:sz w:val="32"/>
          <w:szCs w:val="32"/>
        </w:rPr>
      </w:pPr>
      <w:r>
        <w:rPr>
          <w:rFonts w:ascii="Calibri Light" w:hAnsi="Calibri Light" w:cs="Calibri Light"/>
          <w:sz w:val="32"/>
          <w:szCs w:val="32"/>
        </w:rPr>
        <w:t xml:space="preserve">9. Executing documents </w:t>
      </w:r>
    </w:p>
    <w:p w14:paraId="75D9B9B3" w14:textId="77777777" w:rsidR="00932649" w:rsidRDefault="00932649" w:rsidP="00932649">
      <w:pPr>
        <w:pStyle w:val="Default"/>
        <w:rPr>
          <w:sz w:val="22"/>
          <w:szCs w:val="22"/>
        </w:rPr>
      </w:pPr>
      <w:r>
        <w:rPr>
          <w:b/>
          <w:bCs/>
          <w:sz w:val="22"/>
          <w:szCs w:val="22"/>
        </w:rPr>
        <w:t xml:space="preserve">9.1. Wet ink signatures </w:t>
      </w:r>
    </w:p>
    <w:p w14:paraId="3CB5F26D" w14:textId="77777777" w:rsidR="00932649" w:rsidRDefault="00932649" w:rsidP="00932649">
      <w:pPr>
        <w:pStyle w:val="Default"/>
        <w:rPr>
          <w:sz w:val="22"/>
          <w:szCs w:val="22"/>
        </w:rPr>
      </w:pPr>
      <w:r>
        <w:rPr>
          <w:sz w:val="22"/>
          <w:szCs w:val="22"/>
        </w:rPr>
        <w:t xml:space="preserve">Where clients are able to execute documents: </w:t>
      </w:r>
    </w:p>
    <w:p w14:paraId="2B2216BE" w14:textId="77777777" w:rsidR="00932649" w:rsidRDefault="00932649" w:rsidP="00932649">
      <w:pPr>
        <w:pStyle w:val="Default"/>
        <w:rPr>
          <w:sz w:val="22"/>
          <w:szCs w:val="22"/>
        </w:rPr>
      </w:pPr>
      <w:r>
        <w:rPr>
          <w:sz w:val="22"/>
          <w:szCs w:val="22"/>
        </w:rPr>
        <w:t xml:space="preserve">• with a wet ink signature </w:t>
      </w:r>
    </w:p>
    <w:p w14:paraId="55CF3404" w14:textId="77777777" w:rsidR="00932649" w:rsidRDefault="00932649" w:rsidP="00932649">
      <w:pPr>
        <w:pStyle w:val="Default"/>
        <w:rPr>
          <w:sz w:val="22"/>
          <w:szCs w:val="22"/>
        </w:rPr>
      </w:pPr>
      <w:r>
        <w:rPr>
          <w:sz w:val="22"/>
          <w:szCs w:val="22"/>
        </w:rPr>
        <w:t xml:space="preserve">• with witnesses who are physically present and who use wet ink signatures </w:t>
      </w:r>
    </w:p>
    <w:p w14:paraId="090B51C0" w14:textId="77777777" w:rsidR="00932649" w:rsidRDefault="00932649" w:rsidP="00932649">
      <w:pPr>
        <w:pStyle w:val="Default"/>
        <w:rPr>
          <w:sz w:val="22"/>
          <w:szCs w:val="22"/>
        </w:rPr>
      </w:pPr>
      <w:r>
        <w:rPr>
          <w:sz w:val="22"/>
          <w:szCs w:val="22"/>
        </w:rPr>
        <w:t xml:space="preserve">• where steps can be taken to avoid transmission during appointments, for example, encouraging hand washing and not sharing pens and other objects, especially with vulnerable people </w:t>
      </w:r>
    </w:p>
    <w:p w14:paraId="124BF37E" w14:textId="23A2DE65" w:rsidR="00932649" w:rsidRDefault="00932649" w:rsidP="00932649">
      <w:pPr>
        <w:pStyle w:val="Default"/>
        <w:rPr>
          <w:sz w:val="22"/>
          <w:szCs w:val="22"/>
        </w:rPr>
      </w:pPr>
      <w:r>
        <w:rPr>
          <w:sz w:val="22"/>
          <w:szCs w:val="22"/>
        </w:rPr>
        <w:t xml:space="preserve">• where this can be carried out safely and in England in accordance with the </w:t>
      </w:r>
      <w:r w:rsidR="00C93B93">
        <w:rPr>
          <w:sz w:val="22"/>
          <w:szCs w:val="22"/>
        </w:rPr>
        <w:t xml:space="preserve">current Coronavirus </w:t>
      </w:r>
      <w:r w:rsidR="0056674E">
        <w:rPr>
          <w:sz w:val="22"/>
          <w:szCs w:val="22"/>
        </w:rPr>
        <w:t>legislation</w:t>
      </w:r>
    </w:p>
    <w:p w14:paraId="06C8D9DB" w14:textId="77777777" w:rsidR="00932649" w:rsidRDefault="00932649" w:rsidP="00932649">
      <w:pPr>
        <w:pStyle w:val="Default"/>
        <w:rPr>
          <w:sz w:val="22"/>
          <w:szCs w:val="22"/>
        </w:rPr>
      </w:pPr>
      <w:r>
        <w:rPr>
          <w:sz w:val="22"/>
          <w:szCs w:val="22"/>
        </w:rPr>
        <w:t xml:space="preserve">• where physical delivery of the document can be effected (for example, by post) </w:t>
      </w:r>
    </w:p>
    <w:p w14:paraId="625A590F" w14:textId="77777777" w:rsidR="00932649" w:rsidRDefault="00932649" w:rsidP="00932649">
      <w:pPr>
        <w:pStyle w:val="Default"/>
        <w:rPr>
          <w:sz w:val="22"/>
          <w:szCs w:val="22"/>
        </w:rPr>
      </w:pPr>
    </w:p>
    <w:p w14:paraId="3F177E9F" w14:textId="77777777" w:rsidR="00932649" w:rsidRDefault="00932649" w:rsidP="00932649">
      <w:pPr>
        <w:pStyle w:val="Default"/>
        <w:rPr>
          <w:sz w:val="22"/>
          <w:szCs w:val="22"/>
        </w:rPr>
      </w:pPr>
      <w:r>
        <w:rPr>
          <w:sz w:val="22"/>
          <w:szCs w:val="22"/>
        </w:rPr>
        <w:t xml:space="preserve">this can continue. </w:t>
      </w:r>
    </w:p>
    <w:p w14:paraId="1A88ED24" w14:textId="77777777" w:rsidR="00832121" w:rsidRDefault="00832121" w:rsidP="00932649">
      <w:pPr>
        <w:pStyle w:val="Default"/>
        <w:rPr>
          <w:sz w:val="22"/>
          <w:szCs w:val="22"/>
        </w:rPr>
      </w:pPr>
    </w:p>
    <w:p w14:paraId="0361825E" w14:textId="11FE456A" w:rsidR="00932649" w:rsidRDefault="00932649" w:rsidP="00932649">
      <w:pPr>
        <w:pStyle w:val="Default"/>
        <w:rPr>
          <w:sz w:val="22"/>
          <w:szCs w:val="22"/>
        </w:rPr>
      </w:pPr>
      <w:r>
        <w:rPr>
          <w:sz w:val="22"/>
          <w:szCs w:val="22"/>
        </w:rPr>
        <w:t xml:space="preserve">Where clients report that they’re unable to have a document signed or witnessed complying with these requirements, there are alternate methods of execution: </w:t>
      </w:r>
    </w:p>
    <w:p w14:paraId="62B9A3FC" w14:textId="77777777" w:rsidR="00832121" w:rsidRDefault="00832121" w:rsidP="00932649">
      <w:pPr>
        <w:pStyle w:val="Default"/>
        <w:rPr>
          <w:sz w:val="22"/>
          <w:szCs w:val="22"/>
        </w:rPr>
      </w:pPr>
    </w:p>
    <w:p w14:paraId="4ED2F324" w14:textId="77777777" w:rsidR="00932649" w:rsidRDefault="00932649" w:rsidP="00932649">
      <w:pPr>
        <w:pStyle w:val="Default"/>
        <w:rPr>
          <w:sz w:val="22"/>
          <w:szCs w:val="22"/>
        </w:rPr>
      </w:pPr>
      <w:r>
        <w:rPr>
          <w:b/>
          <w:bCs/>
          <w:sz w:val="22"/>
          <w:szCs w:val="22"/>
        </w:rPr>
        <w:t xml:space="preserve">9.2 ‘Mercury’ style execution </w:t>
      </w:r>
    </w:p>
    <w:p w14:paraId="0DC67F40" w14:textId="06D4E865" w:rsidR="00932649" w:rsidRDefault="00932649" w:rsidP="00932649">
      <w:pPr>
        <w:pStyle w:val="Default"/>
        <w:rPr>
          <w:sz w:val="22"/>
          <w:szCs w:val="22"/>
        </w:rPr>
      </w:pPr>
      <w:r>
        <w:rPr>
          <w:sz w:val="22"/>
          <w:szCs w:val="22"/>
        </w:rPr>
        <w:t xml:space="preserve">HMLR is temporarily accepting the ‘Mercury’ signing approach for deeds and has updated Practice Guide 8 Execution of Deeds. </w:t>
      </w:r>
    </w:p>
    <w:p w14:paraId="30E4291C" w14:textId="77777777" w:rsidR="00832121" w:rsidRDefault="00832121" w:rsidP="00932649">
      <w:pPr>
        <w:pStyle w:val="Default"/>
        <w:rPr>
          <w:sz w:val="22"/>
          <w:szCs w:val="22"/>
        </w:rPr>
      </w:pPr>
    </w:p>
    <w:p w14:paraId="130C858E" w14:textId="77777777" w:rsidR="00932649" w:rsidRDefault="00932649" w:rsidP="00932649">
      <w:pPr>
        <w:pStyle w:val="Default"/>
        <w:rPr>
          <w:sz w:val="22"/>
          <w:szCs w:val="22"/>
        </w:rPr>
      </w:pPr>
      <w:r>
        <w:rPr>
          <w:sz w:val="22"/>
          <w:szCs w:val="22"/>
        </w:rPr>
        <w:t xml:space="preserve">For land registration purposes, a signature page will need to be signed in pen and witnessed in person (not by a video call). The signature will then need to be captured, with a scanner or a camera, to produce a PDF, JPEG or other suitable copy of the signed signature page. </w:t>
      </w:r>
    </w:p>
    <w:p w14:paraId="452A280B" w14:textId="77777777" w:rsidR="00832121" w:rsidRDefault="00932649" w:rsidP="00932649">
      <w:pPr>
        <w:pStyle w:val="Default"/>
        <w:rPr>
          <w:sz w:val="22"/>
          <w:szCs w:val="22"/>
        </w:rPr>
      </w:pPr>
      <w:r>
        <w:rPr>
          <w:sz w:val="22"/>
          <w:szCs w:val="22"/>
        </w:rPr>
        <w:t>Each party sends a single email to their conveyancer to which is attached the final agreed copy of the document and the copy of the signed signature page</w:t>
      </w:r>
      <w:r w:rsidR="00832121">
        <w:rPr>
          <w:sz w:val="22"/>
          <w:szCs w:val="22"/>
        </w:rPr>
        <w:t>.</w:t>
      </w:r>
    </w:p>
    <w:p w14:paraId="626C611D" w14:textId="60735FAC" w:rsidR="00932649" w:rsidRDefault="00932649" w:rsidP="00932649">
      <w:pPr>
        <w:pStyle w:val="Default"/>
        <w:rPr>
          <w:sz w:val="22"/>
          <w:szCs w:val="22"/>
        </w:rPr>
      </w:pPr>
      <w:r>
        <w:rPr>
          <w:sz w:val="22"/>
          <w:szCs w:val="22"/>
        </w:rPr>
        <w:t xml:space="preserve"> </w:t>
      </w:r>
    </w:p>
    <w:p w14:paraId="6CC980FE" w14:textId="77777777" w:rsidR="00832121" w:rsidRDefault="00932649" w:rsidP="00932649">
      <w:pPr>
        <w:pStyle w:val="Default"/>
        <w:rPr>
          <w:sz w:val="22"/>
          <w:szCs w:val="22"/>
        </w:rPr>
      </w:pPr>
      <w:r>
        <w:rPr>
          <w:sz w:val="22"/>
          <w:szCs w:val="22"/>
        </w:rPr>
        <w:t>HMLR require the conveyancer to certify the resulting transfer/document/deed as a true copy of the original in the usual way as the final step in the process</w:t>
      </w:r>
      <w:r w:rsidR="00832121">
        <w:rPr>
          <w:sz w:val="22"/>
          <w:szCs w:val="22"/>
        </w:rPr>
        <w:t>.</w:t>
      </w:r>
    </w:p>
    <w:p w14:paraId="72D68F24" w14:textId="5D3F9F27" w:rsidR="00932649" w:rsidRDefault="00932649" w:rsidP="00932649">
      <w:pPr>
        <w:pStyle w:val="Default"/>
        <w:rPr>
          <w:sz w:val="22"/>
          <w:szCs w:val="22"/>
        </w:rPr>
      </w:pPr>
      <w:r>
        <w:rPr>
          <w:sz w:val="22"/>
          <w:szCs w:val="22"/>
        </w:rPr>
        <w:t xml:space="preserve"> </w:t>
      </w:r>
    </w:p>
    <w:p w14:paraId="2C3E50B7" w14:textId="09668AB6" w:rsidR="00932649" w:rsidRDefault="00932649" w:rsidP="00932649">
      <w:pPr>
        <w:pStyle w:val="Default"/>
        <w:rPr>
          <w:sz w:val="22"/>
          <w:szCs w:val="22"/>
        </w:rPr>
      </w:pPr>
      <w:r>
        <w:rPr>
          <w:sz w:val="22"/>
          <w:szCs w:val="22"/>
        </w:rPr>
        <w:t>The ‘Mercury’ style execution should only be used if the procedures set out in Practice Guide 8 and the practice note on virtual signings are followed in their entirety</w:t>
      </w:r>
      <w:r w:rsidR="00832121">
        <w:rPr>
          <w:sz w:val="22"/>
          <w:szCs w:val="22"/>
        </w:rPr>
        <w:t>.</w:t>
      </w:r>
      <w:r>
        <w:rPr>
          <w:sz w:val="22"/>
          <w:szCs w:val="22"/>
        </w:rPr>
        <w:t xml:space="preserve"> </w:t>
      </w:r>
    </w:p>
    <w:p w14:paraId="2B3931CE" w14:textId="77777777" w:rsidR="003355A8" w:rsidRDefault="003355A8" w:rsidP="00932649">
      <w:pPr>
        <w:pStyle w:val="Default"/>
        <w:rPr>
          <w:sz w:val="18"/>
          <w:szCs w:val="18"/>
        </w:rPr>
      </w:pPr>
    </w:p>
    <w:p w14:paraId="5DEAFE30" w14:textId="24C16B2C" w:rsidR="00932649" w:rsidRDefault="00932649" w:rsidP="00932649">
      <w:pPr>
        <w:pStyle w:val="Default"/>
        <w:rPr>
          <w:sz w:val="22"/>
          <w:szCs w:val="22"/>
        </w:rPr>
      </w:pPr>
      <w:r>
        <w:rPr>
          <w:b/>
          <w:bCs/>
          <w:sz w:val="22"/>
          <w:szCs w:val="22"/>
        </w:rPr>
        <w:t xml:space="preserve">9.3 Electronic signatures </w:t>
      </w:r>
    </w:p>
    <w:p w14:paraId="1B266476" w14:textId="77777777" w:rsidR="00932649" w:rsidRDefault="00932649" w:rsidP="00932649">
      <w:pPr>
        <w:pStyle w:val="Default"/>
        <w:rPr>
          <w:sz w:val="22"/>
          <w:szCs w:val="22"/>
        </w:rPr>
      </w:pPr>
    </w:p>
    <w:p w14:paraId="2AE8C15C" w14:textId="77777777" w:rsidR="00932649" w:rsidRDefault="00932649" w:rsidP="00932649">
      <w:pPr>
        <w:pStyle w:val="Default"/>
        <w:rPr>
          <w:sz w:val="22"/>
          <w:szCs w:val="22"/>
        </w:rPr>
      </w:pPr>
      <w:r>
        <w:rPr>
          <w:b/>
          <w:bCs/>
          <w:sz w:val="22"/>
          <w:szCs w:val="22"/>
        </w:rPr>
        <w:t xml:space="preserve">9.3.1. Electronic signatures generally </w:t>
      </w:r>
    </w:p>
    <w:p w14:paraId="6B417DE5" w14:textId="77777777" w:rsidR="00932649" w:rsidRDefault="00932649" w:rsidP="00932649">
      <w:pPr>
        <w:pStyle w:val="Default"/>
        <w:rPr>
          <w:sz w:val="22"/>
          <w:szCs w:val="22"/>
        </w:rPr>
      </w:pPr>
      <w:r>
        <w:rPr>
          <w:sz w:val="22"/>
          <w:szCs w:val="22"/>
        </w:rPr>
        <w:t xml:space="preserve">• Use electronic signatures as necessary in the present circumstances rather than wet ink signatures. Make sure they are electronically dated correctly, for example, with the date of the contract </w:t>
      </w:r>
    </w:p>
    <w:p w14:paraId="4A879920" w14:textId="77777777" w:rsidR="00932649" w:rsidRDefault="00932649" w:rsidP="00932649">
      <w:pPr>
        <w:pStyle w:val="Default"/>
        <w:rPr>
          <w:sz w:val="22"/>
          <w:szCs w:val="22"/>
        </w:rPr>
      </w:pPr>
      <w:r>
        <w:rPr>
          <w:sz w:val="22"/>
          <w:szCs w:val="22"/>
        </w:rPr>
        <w:t xml:space="preserve">• Electronic signatures can be used for contracts to sell/buy/agreements for lease and other documents under hand </w:t>
      </w:r>
    </w:p>
    <w:p w14:paraId="4F0A3FDC" w14:textId="77777777" w:rsidR="00932649" w:rsidRDefault="00932649" w:rsidP="00932649">
      <w:pPr>
        <w:pStyle w:val="Default"/>
        <w:rPr>
          <w:sz w:val="22"/>
          <w:szCs w:val="22"/>
        </w:rPr>
      </w:pPr>
      <w:r>
        <w:rPr>
          <w:sz w:val="22"/>
          <w:szCs w:val="22"/>
        </w:rPr>
        <w:t xml:space="preserve">• Electronic signatures can be used for deeds but only if any witnesses are physically present when the signatory applies the electronic signature </w:t>
      </w:r>
    </w:p>
    <w:p w14:paraId="343DAFD4" w14:textId="77777777" w:rsidR="00586652" w:rsidRDefault="00586652" w:rsidP="00932649">
      <w:pPr>
        <w:pStyle w:val="Default"/>
        <w:rPr>
          <w:sz w:val="22"/>
          <w:szCs w:val="22"/>
        </w:rPr>
      </w:pPr>
    </w:p>
    <w:p w14:paraId="679D176F" w14:textId="77777777" w:rsidR="00932649" w:rsidRDefault="00932649" w:rsidP="00932649">
      <w:pPr>
        <w:pStyle w:val="Default"/>
        <w:rPr>
          <w:sz w:val="22"/>
          <w:szCs w:val="22"/>
        </w:rPr>
      </w:pPr>
      <w:r>
        <w:rPr>
          <w:b/>
          <w:bCs/>
          <w:sz w:val="22"/>
          <w:szCs w:val="22"/>
        </w:rPr>
        <w:lastRenderedPageBreak/>
        <w:t xml:space="preserve">9.3.2 HMLR and electronic signatures </w:t>
      </w:r>
    </w:p>
    <w:p w14:paraId="1098E687" w14:textId="77777777" w:rsidR="00932649" w:rsidRDefault="00932649" w:rsidP="00932649">
      <w:pPr>
        <w:pStyle w:val="Default"/>
        <w:spacing w:after="177"/>
        <w:rPr>
          <w:sz w:val="22"/>
          <w:szCs w:val="22"/>
        </w:rPr>
      </w:pPr>
      <w:r>
        <w:rPr>
          <w:sz w:val="22"/>
          <w:szCs w:val="22"/>
        </w:rPr>
        <w:t xml:space="preserve">• HMLR do not categorise ‘Mercury’ style signatures as electronic signatures, as they involve scanned manuscript signatures </w:t>
      </w:r>
    </w:p>
    <w:p w14:paraId="54D07D6B" w14:textId="77777777" w:rsidR="00932649" w:rsidRDefault="00932649" w:rsidP="00932649">
      <w:pPr>
        <w:pStyle w:val="Default"/>
        <w:spacing w:after="177"/>
        <w:rPr>
          <w:sz w:val="22"/>
          <w:szCs w:val="22"/>
        </w:rPr>
      </w:pPr>
      <w:r>
        <w:rPr>
          <w:sz w:val="22"/>
          <w:szCs w:val="22"/>
        </w:rPr>
        <w:t xml:space="preserve">• As set out in 9.2 above, HMLR are currently registering transfers and other dispositions effected by deeds that have been executed using ‘Mercury’ style signatures </w:t>
      </w:r>
    </w:p>
    <w:p w14:paraId="5D684A6F" w14:textId="77777777" w:rsidR="00932649" w:rsidRDefault="00932649" w:rsidP="00932649">
      <w:pPr>
        <w:pStyle w:val="Default"/>
        <w:spacing w:after="177"/>
        <w:rPr>
          <w:sz w:val="22"/>
          <w:szCs w:val="22"/>
        </w:rPr>
      </w:pPr>
      <w:r>
        <w:rPr>
          <w:sz w:val="22"/>
          <w:szCs w:val="22"/>
        </w:rPr>
        <w:t xml:space="preserve">• HMLR can enter a notice in respect of a contract that has been electronically signed – a notice does not guarantee the validity of the purchaser’s interest </w:t>
      </w:r>
    </w:p>
    <w:p w14:paraId="04FC78FE" w14:textId="77777777" w:rsidR="00932649" w:rsidRDefault="00932649" w:rsidP="00932649">
      <w:pPr>
        <w:pStyle w:val="Default"/>
        <w:spacing w:after="177"/>
        <w:rPr>
          <w:sz w:val="22"/>
          <w:szCs w:val="22"/>
        </w:rPr>
      </w:pPr>
      <w:r>
        <w:rPr>
          <w:sz w:val="22"/>
          <w:szCs w:val="22"/>
        </w:rPr>
        <w:t xml:space="preserve">• HMLR will not register a disposition purported to be effected by a deed that has been electronically signed </w:t>
      </w:r>
    </w:p>
    <w:p w14:paraId="64BA54A1" w14:textId="77777777" w:rsidR="00932649" w:rsidRDefault="00932649" w:rsidP="00932649">
      <w:pPr>
        <w:pStyle w:val="Default"/>
        <w:rPr>
          <w:sz w:val="22"/>
          <w:szCs w:val="22"/>
        </w:rPr>
      </w:pPr>
      <w:r>
        <w:rPr>
          <w:sz w:val="22"/>
          <w:szCs w:val="22"/>
        </w:rPr>
        <w:t xml:space="preserve">• HMLR will, however, register an electronic disposition in the form of a digital mortgage complying with Notice 1 made under rule 54C of the Land Registration Rules 2003: this is not a deed </w:t>
      </w:r>
    </w:p>
    <w:p w14:paraId="5B4D92B5" w14:textId="77777777" w:rsidR="00932649" w:rsidRDefault="00932649" w:rsidP="00932649">
      <w:pPr>
        <w:pStyle w:val="Default"/>
        <w:rPr>
          <w:sz w:val="22"/>
          <w:szCs w:val="22"/>
        </w:rPr>
      </w:pPr>
    </w:p>
    <w:p w14:paraId="4A020B03" w14:textId="65D08913" w:rsidR="00932649" w:rsidRDefault="00932649" w:rsidP="00932649">
      <w:pPr>
        <w:pStyle w:val="Default"/>
        <w:rPr>
          <w:b/>
          <w:bCs/>
          <w:sz w:val="22"/>
          <w:szCs w:val="22"/>
        </w:rPr>
      </w:pPr>
      <w:r>
        <w:rPr>
          <w:b/>
          <w:bCs/>
          <w:sz w:val="22"/>
          <w:szCs w:val="22"/>
        </w:rPr>
        <w:t xml:space="preserve">9.4 Witnessing </w:t>
      </w:r>
    </w:p>
    <w:p w14:paraId="0C279CE9" w14:textId="77777777" w:rsidR="00EF0D67" w:rsidRDefault="00EF0D67" w:rsidP="00932649">
      <w:pPr>
        <w:pStyle w:val="Default"/>
        <w:rPr>
          <w:sz w:val="22"/>
          <w:szCs w:val="22"/>
        </w:rPr>
      </w:pPr>
    </w:p>
    <w:p w14:paraId="4B6D4316" w14:textId="66BB458C" w:rsidR="00932649" w:rsidRDefault="00932649" w:rsidP="00932649">
      <w:pPr>
        <w:pStyle w:val="Default"/>
        <w:rPr>
          <w:sz w:val="22"/>
          <w:szCs w:val="22"/>
        </w:rPr>
      </w:pPr>
      <w:r>
        <w:rPr>
          <w:sz w:val="22"/>
          <w:szCs w:val="22"/>
        </w:rPr>
        <w:t xml:space="preserve">All physical presence witnessing must be conducted in accordance with social distancing requirements. </w:t>
      </w:r>
    </w:p>
    <w:p w14:paraId="396800D3" w14:textId="77777777" w:rsidR="00EF0D67" w:rsidRDefault="00EF0D67" w:rsidP="00932649">
      <w:pPr>
        <w:pStyle w:val="Default"/>
        <w:rPr>
          <w:sz w:val="22"/>
          <w:szCs w:val="22"/>
        </w:rPr>
      </w:pPr>
    </w:p>
    <w:p w14:paraId="39B38A65" w14:textId="77777777" w:rsidR="00932649" w:rsidRDefault="00932649" w:rsidP="00932649">
      <w:pPr>
        <w:pStyle w:val="Default"/>
        <w:rPr>
          <w:sz w:val="22"/>
          <w:szCs w:val="22"/>
        </w:rPr>
      </w:pPr>
      <w:r>
        <w:rPr>
          <w:i/>
          <w:iCs/>
          <w:sz w:val="22"/>
          <w:szCs w:val="22"/>
        </w:rPr>
        <w:t xml:space="preserve">10.4.1. Principles of witnessing </w:t>
      </w:r>
    </w:p>
    <w:p w14:paraId="37D111A5" w14:textId="77777777" w:rsidR="00932649" w:rsidRDefault="00932649" w:rsidP="00932649">
      <w:pPr>
        <w:pStyle w:val="Default"/>
        <w:rPr>
          <w:sz w:val="22"/>
          <w:szCs w:val="22"/>
        </w:rPr>
      </w:pPr>
      <w:r>
        <w:rPr>
          <w:sz w:val="22"/>
          <w:szCs w:val="22"/>
        </w:rPr>
        <w:t xml:space="preserve">• The usual principles continue to apply: a party to a deed can never be a witness, there must be no conflict of interest, they should be independent and not benefit directly or indirectly from the contents of the deed </w:t>
      </w:r>
    </w:p>
    <w:p w14:paraId="6A9EAF52" w14:textId="77777777" w:rsidR="00932649" w:rsidRDefault="00932649" w:rsidP="00932649">
      <w:pPr>
        <w:pStyle w:val="Default"/>
        <w:rPr>
          <w:sz w:val="22"/>
          <w:szCs w:val="22"/>
        </w:rPr>
      </w:pPr>
      <w:r>
        <w:rPr>
          <w:sz w:val="22"/>
          <w:szCs w:val="22"/>
        </w:rPr>
        <w:t xml:space="preserve">• If there’s to be any deviation from usual procedures on witnessing, check with HMLR requirements or individual lender requirements </w:t>
      </w:r>
    </w:p>
    <w:p w14:paraId="64B8C876" w14:textId="42856B98" w:rsidR="00932649" w:rsidRDefault="00932649" w:rsidP="00932649">
      <w:pPr>
        <w:pStyle w:val="Default"/>
        <w:rPr>
          <w:sz w:val="22"/>
          <w:szCs w:val="22"/>
        </w:rPr>
      </w:pPr>
      <w:r>
        <w:rPr>
          <w:sz w:val="22"/>
          <w:szCs w:val="22"/>
        </w:rPr>
        <w:t>• If extreme measures are being considered – such as family members being asked to witness – make sure that clients are aware of the risks, warn the other side that this may occur in advance so that they have the opportunity to object, ensure that lenders accept the position before they are requested to advance monies and obtain full details of capacity</w:t>
      </w:r>
      <w:r w:rsidR="001A02E2">
        <w:rPr>
          <w:sz w:val="22"/>
          <w:szCs w:val="22"/>
        </w:rPr>
        <w:t>,</w:t>
      </w:r>
      <w:r>
        <w:rPr>
          <w:sz w:val="22"/>
          <w:szCs w:val="22"/>
        </w:rPr>
        <w:t xml:space="preserve"> age and confirmation that they do not stand to benefit, in any way, however remote, from the contents of the deed </w:t>
      </w:r>
    </w:p>
    <w:p w14:paraId="1FEF3162" w14:textId="77777777" w:rsidR="00932649" w:rsidRDefault="00932649" w:rsidP="00932649">
      <w:pPr>
        <w:pStyle w:val="Default"/>
        <w:rPr>
          <w:sz w:val="22"/>
          <w:szCs w:val="22"/>
        </w:rPr>
      </w:pPr>
    </w:p>
    <w:p w14:paraId="401C2501" w14:textId="24AD3A7C" w:rsidR="00932649" w:rsidRDefault="00932649" w:rsidP="00932649">
      <w:pPr>
        <w:pStyle w:val="Default"/>
        <w:rPr>
          <w:sz w:val="22"/>
          <w:szCs w:val="22"/>
        </w:rPr>
      </w:pPr>
      <w:r>
        <w:rPr>
          <w:i/>
          <w:iCs/>
          <w:sz w:val="22"/>
          <w:szCs w:val="22"/>
        </w:rPr>
        <w:t xml:space="preserve">9.4.2 Wet-ink signatures </w:t>
      </w:r>
    </w:p>
    <w:p w14:paraId="12C468F7" w14:textId="77777777" w:rsidR="00932649" w:rsidRDefault="00932649" w:rsidP="00932649">
      <w:pPr>
        <w:pStyle w:val="Default"/>
        <w:rPr>
          <w:sz w:val="22"/>
          <w:szCs w:val="22"/>
        </w:rPr>
      </w:pPr>
      <w:r>
        <w:rPr>
          <w:sz w:val="22"/>
          <w:szCs w:val="22"/>
        </w:rPr>
        <w:t xml:space="preserve">Witnesses must be physically present when the document is signed. </w:t>
      </w:r>
    </w:p>
    <w:p w14:paraId="13FB77CB" w14:textId="31B3559A" w:rsidR="00932649" w:rsidRDefault="00932649" w:rsidP="00932649">
      <w:pPr>
        <w:pStyle w:val="Default"/>
        <w:rPr>
          <w:sz w:val="22"/>
          <w:szCs w:val="22"/>
        </w:rPr>
      </w:pPr>
      <w:r>
        <w:rPr>
          <w:sz w:val="22"/>
          <w:szCs w:val="22"/>
        </w:rPr>
        <w:t xml:space="preserve">The video solutions proposed in other jurisdictions or for wills do not apply for HMLR purposes in England and Wales. </w:t>
      </w:r>
    </w:p>
    <w:p w14:paraId="47E7C498" w14:textId="77777777" w:rsidR="00E96CD3" w:rsidRDefault="00E96CD3" w:rsidP="00932649">
      <w:pPr>
        <w:pStyle w:val="Default"/>
        <w:rPr>
          <w:sz w:val="22"/>
          <w:szCs w:val="22"/>
        </w:rPr>
      </w:pPr>
    </w:p>
    <w:p w14:paraId="312F52BB" w14:textId="216DD848" w:rsidR="00932649" w:rsidRDefault="00932649" w:rsidP="00932649">
      <w:pPr>
        <w:pStyle w:val="Default"/>
        <w:rPr>
          <w:b/>
          <w:bCs/>
          <w:sz w:val="22"/>
          <w:szCs w:val="22"/>
        </w:rPr>
      </w:pPr>
      <w:r>
        <w:rPr>
          <w:b/>
          <w:bCs/>
          <w:sz w:val="22"/>
          <w:szCs w:val="22"/>
        </w:rPr>
        <w:t xml:space="preserve">Note: For HMLR purposes, witnesses must be physically present when the document is signed </w:t>
      </w:r>
    </w:p>
    <w:p w14:paraId="0E0F0C90" w14:textId="77777777" w:rsidR="00E96CD3" w:rsidRDefault="00E96CD3" w:rsidP="00932649">
      <w:pPr>
        <w:pStyle w:val="Default"/>
        <w:rPr>
          <w:sz w:val="22"/>
          <w:szCs w:val="22"/>
        </w:rPr>
      </w:pPr>
    </w:p>
    <w:p w14:paraId="7F859B4F" w14:textId="77777777" w:rsidR="00932649" w:rsidRDefault="00932649" w:rsidP="00932649">
      <w:pPr>
        <w:pStyle w:val="Default"/>
        <w:rPr>
          <w:sz w:val="22"/>
          <w:szCs w:val="22"/>
        </w:rPr>
      </w:pPr>
      <w:r>
        <w:rPr>
          <w:i/>
          <w:iCs/>
          <w:sz w:val="22"/>
          <w:szCs w:val="22"/>
        </w:rPr>
        <w:t xml:space="preserve">9.4.3. Electronic signatures </w:t>
      </w:r>
    </w:p>
    <w:p w14:paraId="43A41B90" w14:textId="7261B1F2" w:rsidR="00932649" w:rsidRDefault="00932649" w:rsidP="00932649">
      <w:pPr>
        <w:pStyle w:val="Default"/>
        <w:rPr>
          <w:sz w:val="22"/>
          <w:szCs w:val="22"/>
        </w:rPr>
      </w:pPr>
      <w:r>
        <w:rPr>
          <w:sz w:val="22"/>
          <w:szCs w:val="22"/>
        </w:rPr>
        <w:t xml:space="preserve">Witnesses to electronic signatures must be physically present when the signatory electronically signs on the third-party equipment or device. </w:t>
      </w:r>
    </w:p>
    <w:p w14:paraId="28F4959D" w14:textId="77777777" w:rsidR="00E96CD3" w:rsidRDefault="00E96CD3" w:rsidP="00932649">
      <w:pPr>
        <w:pStyle w:val="Default"/>
        <w:rPr>
          <w:sz w:val="22"/>
          <w:szCs w:val="22"/>
        </w:rPr>
      </w:pPr>
    </w:p>
    <w:p w14:paraId="09C23284" w14:textId="4A1C75E3" w:rsidR="00932649" w:rsidRDefault="00932649" w:rsidP="00932649">
      <w:pPr>
        <w:pStyle w:val="Default"/>
        <w:rPr>
          <w:b/>
          <w:bCs/>
          <w:sz w:val="22"/>
          <w:szCs w:val="22"/>
        </w:rPr>
      </w:pPr>
      <w:r>
        <w:rPr>
          <w:b/>
          <w:bCs/>
          <w:sz w:val="22"/>
          <w:szCs w:val="22"/>
        </w:rPr>
        <w:t xml:space="preserve">Note: HMLR will not register a disposition purported to be effected by a deed that has been electronically signed. </w:t>
      </w:r>
    </w:p>
    <w:p w14:paraId="40E354BD" w14:textId="77777777" w:rsidR="00E96CD3" w:rsidRDefault="00E96CD3" w:rsidP="00932649">
      <w:pPr>
        <w:pStyle w:val="Default"/>
        <w:rPr>
          <w:sz w:val="22"/>
          <w:szCs w:val="22"/>
        </w:rPr>
      </w:pPr>
    </w:p>
    <w:p w14:paraId="7A18A533" w14:textId="77777777" w:rsidR="00932649" w:rsidRDefault="00932649" w:rsidP="00932649">
      <w:pPr>
        <w:pStyle w:val="Default"/>
        <w:rPr>
          <w:sz w:val="22"/>
          <w:szCs w:val="22"/>
        </w:rPr>
      </w:pPr>
      <w:r>
        <w:rPr>
          <w:sz w:val="22"/>
          <w:szCs w:val="22"/>
        </w:rPr>
        <w:t xml:space="preserve">It’s suggested that witnesses are requested to sign statements confirming that they were physically present when the document was executed. </w:t>
      </w:r>
    </w:p>
    <w:p w14:paraId="208EE116" w14:textId="77777777" w:rsidR="00544F76" w:rsidRDefault="00544F76" w:rsidP="00932649">
      <w:pPr>
        <w:pStyle w:val="Default"/>
        <w:rPr>
          <w:rFonts w:ascii="Calibri Light" w:hAnsi="Calibri Light" w:cs="Calibri Light"/>
          <w:sz w:val="32"/>
          <w:szCs w:val="32"/>
        </w:rPr>
      </w:pPr>
    </w:p>
    <w:p w14:paraId="2D8F68A5" w14:textId="0E6465F7" w:rsidR="00932649" w:rsidRDefault="00932649" w:rsidP="00932649">
      <w:pPr>
        <w:pStyle w:val="Default"/>
        <w:rPr>
          <w:rFonts w:ascii="Calibri Light" w:hAnsi="Calibri Light" w:cs="Calibri Light"/>
          <w:sz w:val="32"/>
          <w:szCs w:val="32"/>
        </w:rPr>
      </w:pPr>
      <w:r>
        <w:rPr>
          <w:rFonts w:ascii="Calibri Light" w:hAnsi="Calibri Light" w:cs="Calibri Light"/>
          <w:sz w:val="32"/>
          <w:szCs w:val="32"/>
        </w:rPr>
        <w:t xml:space="preserve">10. Transactions in Wales </w:t>
      </w:r>
    </w:p>
    <w:p w14:paraId="3CA879E4" w14:textId="7D3ECC51" w:rsidR="00544F76" w:rsidRPr="004D44DF" w:rsidRDefault="00544F76" w:rsidP="00932649">
      <w:pPr>
        <w:pStyle w:val="Default"/>
        <w:rPr>
          <w:sz w:val="22"/>
          <w:szCs w:val="22"/>
        </w:rPr>
      </w:pPr>
    </w:p>
    <w:p w14:paraId="50D72643" w14:textId="744BD6D5" w:rsidR="00EE7AAE" w:rsidRPr="00F16356" w:rsidRDefault="00EE7AAE" w:rsidP="00EE7AAE">
      <w:pPr>
        <w:rPr>
          <w:rStyle w:val="normaltextrun"/>
          <w:rFonts w:ascii="Arial" w:hAnsi="Arial" w:cs="Arial"/>
          <w:color w:val="333333"/>
        </w:rPr>
      </w:pPr>
      <w:r>
        <w:rPr>
          <w:rFonts w:ascii="Arial" w:hAnsi="Arial" w:cs="Arial"/>
          <w:color w:val="494949"/>
        </w:rPr>
        <w:lastRenderedPageBreak/>
        <w:t>A four-level alert system was introduced in Wales on 20 December 2020 following the emergence of a new Coronavirus variant.</w:t>
      </w:r>
      <w:r>
        <w:rPr>
          <w:rFonts w:ascii="Arial" w:hAnsi="Arial" w:cs="Arial"/>
          <w:color w:val="333333"/>
        </w:rPr>
        <w:t> Welsh First Minister, Mark Drakeford, announced a</w:t>
      </w:r>
      <w:r w:rsidR="00751415">
        <w:rPr>
          <w:rFonts w:ascii="Arial" w:hAnsi="Arial" w:cs="Arial"/>
          <w:color w:val="333333"/>
        </w:rPr>
        <w:t>nother</w:t>
      </w:r>
      <w:r>
        <w:rPr>
          <w:rFonts w:ascii="Arial" w:hAnsi="Arial" w:cs="Arial"/>
          <w:color w:val="333333"/>
        </w:rPr>
        <w:t xml:space="preserve"> three-week extension to this national lockdown on </w:t>
      </w:r>
      <w:r w:rsidR="006B7536">
        <w:rPr>
          <w:rFonts w:ascii="Arial" w:hAnsi="Arial" w:cs="Arial"/>
          <w:color w:val="333333"/>
        </w:rPr>
        <w:t>29</w:t>
      </w:r>
      <w:r>
        <w:rPr>
          <w:rFonts w:ascii="Arial" w:hAnsi="Arial" w:cs="Arial"/>
          <w:color w:val="333333"/>
        </w:rPr>
        <w:t xml:space="preserve"> January</w:t>
      </w:r>
      <w:r w:rsidR="001405FD">
        <w:rPr>
          <w:rFonts w:ascii="Arial" w:hAnsi="Arial" w:cs="Arial"/>
          <w:color w:val="333333"/>
        </w:rPr>
        <w:t xml:space="preserve"> 2021</w:t>
      </w:r>
      <w:r>
        <w:rPr>
          <w:rFonts w:ascii="Arial" w:hAnsi="Arial" w:cs="Arial"/>
          <w:color w:val="333333"/>
        </w:rPr>
        <w:t>. These restrictions are to be reviewed and you should continue to monitor them.</w:t>
      </w:r>
    </w:p>
    <w:p w14:paraId="3C314158" w14:textId="230440B0" w:rsidR="008F2A35" w:rsidRPr="00E76813" w:rsidRDefault="000A7F40" w:rsidP="00390BC0">
      <w:pPr>
        <w:rPr>
          <w:rStyle w:val="normaltextrun"/>
          <w:rFonts w:ascii="Arial" w:hAnsi="Arial" w:cs="Arial"/>
        </w:rPr>
      </w:pPr>
      <w:r w:rsidRPr="00E76813">
        <w:rPr>
          <w:rFonts w:ascii="Arial" w:hAnsi="Arial" w:cs="Arial"/>
          <w:color w:val="1F1F1F"/>
          <w:shd w:val="clear" w:color="auto" w:fill="FFFFFF"/>
        </w:rPr>
        <w:t xml:space="preserve">Presently, home moves are still permitted in Wales. </w:t>
      </w:r>
      <w:r w:rsidR="001D7A3F" w:rsidRPr="00E76813">
        <w:rPr>
          <w:rFonts w:ascii="Arial" w:hAnsi="Arial" w:cs="Arial"/>
          <w:color w:val="1F1F1F"/>
          <w:shd w:val="clear" w:color="auto" w:fill="FFFFFF"/>
        </w:rPr>
        <w:t>Under the rules that apply in Wales travelling to move home, or to view a property in connection with its purchase, sale, letting or rental, is a reasonable excuse to enter Wales. Similarly</w:t>
      </w:r>
      <w:r w:rsidR="00DC29F9">
        <w:rPr>
          <w:rFonts w:ascii="Arial" w:hAnsi="Arial" w:cs="Arial"/>
          <w:color w:val="1F1F1F"/>
          <w:shd w:val="clear" w:color="auto" w:fill="FFFFFF"/>
        </w:rPr>
        <w:t>,</w:t>
      </w:r>
      <w:r w:rsidR="001D7A3F" w:rsidRPr="00E76813">
        <w:rPr>
          <w:rFonts w:ascii="Arial" w:hAnsi="Arial" w:cs="Arial"/>
          <w:color w:val="1F1F1F"/>
          <w:shd w:val="clear" w:color="auto" w:fill="FFFFFF"/>
        </w:rPr>
        <w:t xml:space="preserve"> the rules in Wales allow people to travel to other parts of the United Kingdom for the purposes of moving home or to view a property in connection with its purchase, sale, letting or rental.</w:t>
      </w:r>
    </w:p>
    <w:p w14:paraId="6D31489E" w14:textId="11A621F3" w:rsidR="00390BC0" w:rsidRPr="00E76813" w:rsidRDefault="00390BC0" w:rsidP="009330E8">
      <w:r w:rsidRPr="00E76813">
        <w:rPr>
          <w:rStyle w:val="normaltextrun"/>
          <w:rFonts w:ascii="Arial" w:hAnsi="Arial" w:cs="Arial"/>
        </w:rPr>
        <w:t xml:space="preserve">See the Welsh </w:t>
      </w:r>
      <w:r w:rsidR="003F125D">
        <w:rPr>
          <w:rStyle w:val="normaltextrun"/>
          <w:rFonts w:ascii="Arial" w:hAnsi="Arial" w:cs="Arial"/>
        </w:rPr>
        <w:t>G</w:t>
      </w:r>
      <w:r w:rsidRPr="00E76813">
        <w:rPr>
          <w:rStyle w:val="normaltextrun"/>
          <w:rFonts w:ascii="Arial" w:hAnsi="Arial" w:cs="Arial"/>
        </w:rPr>
        <w:t xml:space="preserve">overnment’s </w:t>
      </w:r>
      <w:r w:rsidR="00902A66" w:rsidRPr="00E76813">
        <w:rPr>
          <w:rStyle w:val="normaltextrun"/>
          <w:rFonts w:ascii="Arial" w:hAnsi="Arial" w:cs="Arial"/>
        </w:rPr>
        <w:t>guidance on</w:t>
      </w:r>
      <w:r w:rsidR="00AC463D" w:rsidRPr="00E76813">
        <w:rPr>
          <w:rStyle w:val="normaltextrun"/>
          <w:rFonts w:ascii="Arial" w:hAnsi="Arial" w:cs="Arial"/>
        </w:rPr>
        <w:t xml:space="preserve"> moving home during the Coronavirus pandemic </w:t>
      </w:r>
      <w:hyperlink r:id="rId16" w:history="1">
        <w:r w:rsidR="00AC463D" w:rsidRPr="00E76813">
          <w:rPr>
            <w:rStyle w:val="Hyperlink"/>
            <w:rFonts w:ascii="Arial" w:hAnsi="Arial" w:cs="Arial"/>
          </w:rPr>
          <w:t>here</w:t>
        </w:r>
      </w:hyperlink>
      <w:r w:rsidR="00AC463D" w:rsidRPr="00E76813">
        <w:rPr>
          <w:rStyle w:val="normaltextrun"/>
          <w:rFonts w:ascii="Arial" w:hAnsi="Arial" w:cs="Arial"/>
        </w:rPr>
        <w:t>.</w:t>
      </w:r>
      <w:r w:rsidR="00902A66" w:rsidRPr="00E76813">
        <w:rPr>
          <w:rFonts w:ascii="Arial" w:hAnsi="Arial" w:cs="Arial"/>
          <w:color w:val="1F1F1F"/>
          <w:spacing w:val="-12"/>
        </w:rPr>
        <w:t xml:space="preserve"> </w:t>
      </w:r>
      <w:r w:rsidR="009330E8">
        <w:rPr>
          <w:rFonts w:ascii="Arial" w:hAnsi="Arial" w:cs="Arial"/>
          <w:b/>
          <w:bCs/>
          <w:color w:val="1F1F1F"/>
          <w:spacing w:val="-12"/>
        </w:rPr>
        <w:t xml:space="preserve"> </w:t>
      </w:r>
    </w:p>
    <w:p w14:paraId="53275907" w14:textId="278F3610" w:rsidR="00521DF6" w:rsidRPr="00724DBD" w:rsidRDefault="00521DF6" w:rsidP="00932649">
      <w:pPr>
        <w:pStyle w:val="Default"/>
        <w:rPr>
          <w:sz w:val="22"/>
          <w:szCs w:val="22"/>
        </w:rPr>
      </w:pPr>
    </w:p>
    <w:p w14:paraId="3C19D975" w14:textId="145A3A9E" w:rsidR="00521DF6" w:rsidRDefault="00521DF6" w:rsidP="00932649">
      <w:pPr>
        <w:pStyle w:val="Default"/>
        <w:rPr>
          <w:b/>
          <w:bCs/>
          <w:sz w:val="22"/>
          <w:szCs w:val="22"/>
        </w:rPr>
      </w:pPr>
      <w:r w:rsidRPr="0064050A">
        <w:rPr>
          <w:b/>
          <w:bCs/>
          <w:sz w:val="22"/>
          <w:szCs w:val="22"/>
        </w:rPr>
        <w:t>LTT concession deadline – 31 March 2021</w:t>
      </w:r>
    </w:p>
    <w:p w14:paraId="64877592" w14:textId="77777777" w:rsidR="00850E5F" w:rsidRPr="0064050A" w:rsidRDefault="00850E5F" w:rsidP="00932649">
      <w:pPr>
        <w:pStyle w:val="Default"/>
        <w:rPr>
          <w:b/>
          <w:bCs/>
          <w:sz w:val="22"/>
          <w:szCs w:val="22"/>
        </w:rPr>
      </w:pPr>
    </w:p>
    <w:p w14:paraId="510749E5" w14:textId="74CEC105" w:rsidR="00B34959" w:rsidRPr="00FF7D4D" w:rsidRDefault="00A32EA1" w:rsidP="00FF7D4D">
      <w:pPr>
        <w:pStyle w:val="Default"/>
        <w:rPr>
          <w:sz w:val="22"/>
          <w:szCs w:val="22"/>
        </w:rPr>
      </w:pPr>
      <w:r>
        <w:rPr>
          <w:color w:val="595858"/>
          <w:sz w:val="22"/>
          <w:szCs w:val="22"/>
          <w:shd w:val="clear" w:color="auto" w:fill="FFFFFF"/>
        </w:rPr>
        <w:t xml:space="preserve">As with the SDLT concession in England, </w:t>
      </w:r>
      <w:r w:rsidR="003A67CE">
        <w:rPr>
          <w:color w:val="595858"/>
          <w:sz w:val="22"/>
          <w:szCs w:val="22"/>
          <w:shd w:val="clear" w:color="auto" w:fill="FFFFFF"/>
        </w:rPr>
        <w:t xml:space="preserve">Welsh Government has </w:t>
      </w:r>
      <w:r w:rsidR="00BE09BF">
        <w:rPr>
          <w:color w:val="595858"/>
          <w:sz w:val="22"/>
          <w:szCs w:val="22"/>
          <w:shd w:val="clear" w:color="auto" w:fill="FFFFFF"/>
        </w:rPr>
        <w:t>said</w:t>
      </w:r>
      <w:r w:rsidR="003A67CE">
        <w:rPr>
          <w:color w:val="595858"/>
          <w:sz w:val="22"/>
          <w:szCs w:val="22"/>
          <w:shd w:val="clear" w:color="auto" w:fill="FFFFFF"/>
        </w:rPr>
        <w:t xml:space="preserve"> that the</w:t>
      </w:r>
      <w:r w:rsidR="00724DBD" w:rsidRPr="00724DBD">
        <w:rPr>
          <w:color w:val="595858"/>
          <w:sz w:val="22"/>
          <w:szCs w:val="22"/>
          <w:shd w:val="clear" w:color="auto" w:fill="FFFFFF"/>
        </w:rPr>
        <w:t xml:space="preserve"> </w:t>
      </w:r>
      <w:r w:rsidR="00521DF6" w:rsidRPr="00724DBD">
        <w:rPr>
          <w:color w:val="595858"/>
          <w:sz w:val="22"/>
          <w:szCs w:val="22"/>
          <w:shd w:val="clear" w:color="auto" w:fill="FFFFFF"/>
        </w:rPr>
        <w:t>L</w:t>
      </w:r>
      <w:r w:rsidR="00724DBD" w:rsidRPr="00724DBD">
        <w:rPr>
          <w:color w:val="595858"/>
          <w:sz w:val="22"/>
          <w:szCs w:val="22"/>
          <w:shd w:val="clear" w:color="auto" w:fill="FFFFFF"/>
        </w:rPr>
        <w:t xml:space="preserve">and </w:t>
      </w:r>
      <w:r w:rsidR="00521DF6" w:rsidRPr="00724DBD">
        <w:rPr>
          <w:color w:val="595858"/>
          <w:sz w:val="22"/>
          <w:szCs w:val="22"/>
          <w:shd w:val="clear" w:color="auto" w:fill="FFFFFF"/>
        </w:rPr>
        <w:t>T</w:t>
      </w:r>
      <w:r w:rsidR="00724DBD" w:rsidRPr="00724DBD">
        <w:rPr>
          <w:color w:val="595858"/>
          <w:sz w:val="22"/>
          <w:szCs w:val="22"/>
          <w:shd w:val="clear" w:color="auto" w:fill="FFFFFF"/>
        </w:rPr>
        <w:t xml:space="preserve">ransaction </w:t>
      </w:r>
      <w:r w:rsidR="00521DF6" w:rsidRPr="00724DBD">
        <w:rPr>
          <w:color w:val="595858"/>
          <w:sz w:val="22"/>
          <w:szCs w:val="22"/>
          <w:shd w:val="clear" w:color="auto" w:fill="FFFFFF"/>
        </w:rPr>
        <w:t>T</w:t>
      </w:r>
      <w:r w:rsidR="00724DBD" w:rsidRPr="00724DBD">
        <w:rPr>
          <w:color w:val="595858"/>
          <w:sz w:val="22"/>
          <w:szCs w:val="22"/>
          <w:shd w:val="clear" w:color="auto" w:fill="FFFFFF"/>
        </w:rPr>
        <w:t>ax</w:t>
      </w:r>
      <w:r w:rsidR="00521DF6" w:rsidRPr="00724DBD">
        <w:rPr>
          <w:color w:val="595858"/>
          <w:sz w:val="22"/>
          <w:szCs w:val="22"/>
          <w:shd w:val="clear" w:color="auto" w:fill="FFFFFF"/>
        </w:rPr>
        <w:t xml:space="preserve"> concession</w:t>
      </w:r>
      <w:r w:rsidR="00FE153C">
        <w:rPr>
          <w:color w:val="595858"/>
          <w:sz w:val="22"/>
          <w:szCs w:val="22"/>
          <w:shd w:val="clear" w:color="auto" w:fill="FFFFFF"/>
        </w:rPr>
        <w:t xml:space="preserve"> currently</w:t>
      </w:r>
      <w:r w:rsidR="00521DF6" w:rsidRPr="00724DBD">
        <w:rPr>
          <w:color w:val="595858"/>
          <w:sz w:val="22"/>
          <w:szCs w:val="22"/>
          <w:shd w:val="clear" w:color="auto" w:fill="FFFFFF"/>
        </w:rPr>
        <w:t xml:space="preserve"> in place</w:t>
      </w:r>
      <w:r w:rsidR="00724DBD" w:rsidRPr="00724DBD">
        <w:rPr>
          <w:color w:val="595858"/>
          <w:sz w:val="22"/>
          <w:szCs w:val="22"/>
          <w:shd w:val="clear" w:color="auto" w:fill="FFFFFF"/>
        </w:rPr>
        <w:t xml:space="preserve"> in Wales</w:t>
      </w:r>
      <w:r w:rsidR="00521DF6" w:rsidRPr="00724DBD">
        <w:rPr>
          <w:color w:val="595858"/>
          <w:sz w:val="22"/>
          <w:szCs w:val="22"/>
          <w:shd w:val="clear" w:color="auto" w:fill="FFFFFF"/>
        </w:rPr>
        <w:t xml:space="preserve"> </w:t>
      </w:r>
      <w:r w:rsidR="006E7615">
        <w:rPr>
          <w:color w:val="595858"/>
          <w:sz w:val="22"/>
          <w:szCs w:val="22"/>
          <w:shd w:val="clear" w:color="auto" w:fill="FFFFFF"/>
        </w:rPr>
        <w:t>will</w:t>
      </w:r>
      <w:r w:rsidR="00521DF6" w:rsidRPr="00724DBD">
        <w:rPr>
          <w:color w:val="595858"/>
          <w:sz w:val="22"/>
          <w:szCs w:val="22"/>
          <w:shd w:val="clear" w:color="auto" w:fill="FFFFFF"/>
        </w:rPr>
        <w:t xml:space="preserve"> end on 31 March 2021. </w:t>
      </w:r>
      <w:r w:rsidR="00A10D91">
        <w:rPr>
          <w:color w:val="595858"/>
          <w:sz w:val="22"/>
          <w:szCs w:val="22"/>
          <w:shd w:val="clear" w:color="auto" w:fill="FFFFFF"/>
        </w:rPr>
        <w:t xml:space="preserve">We encourage you to manage your </w:t>
      </w:r>
      <w:r w:rsidR="00C51E54">
        <w:rPr>
          <w:color w:val="595858"/>
          <w:sz w:val="22"/>
          <w:szCs w:val="22"/>
          <w:shd w:val="clear" w:color="auto" w:fill="FFFFFF"/>
        </w:rPr>
        <w:t>clients</w:t>
      </w:r>
      <w:r w:rsidR="00A10D91">
        <w:rPr>
          <w:color w:val="595858"/>
          <w:sz w:val="22"/>
          <w:szCs w:val="22"/>
          <w:shd w:val="clear" w:color="auto" w:fill="FFFFFF"/>
        </w:rPr>
        <w:t xml:space="preserve">’ expectations as </w:t>
      </w:r>
      <w:r w:rsidR="00C51E54">
        <w:rPr>
          <w:color w:val="595858"/>
          <w:sz w:val="22"/>
          <w:szCs w:val="22"/>
          <w:shd w:val="clear" w:color="auto" w:fill="FFFFFF"/>
        </w:rPr>
        <w:t xml:space="preserve">the deadline draws </w:t>
      </w:r>
      <w:r w:rsidR="009A0E68">
        <w:rPr>
          <w:color w:val="595858"/>
          <w:sz w:val="22"/>
          <w:szCs w:val="22"/>
          <w:shd w:val="clear" w:color="auto" w:fill="FFFFFF"/>
        </w:rPr>
        <w:t xml:space="preserve">nearer and the likelihood of transactions completing in time </w:t>
      </w:r>
      <w:r w:rsidR="00B42470">
        <w:rPr>
          <w:color w:val="595858"/>
          <w:sz w:val="22"/>
          <w:szCs w:val="22"/>
          <w:shd w:val="clear" w:color="auto" w:fill="FFFFFF"/>
        </w:rPr>
        <w:t xml:space="preserve">to take advantage of the concession in Wales </w:t>
      </w:r>
      <w:r w:rsidR="009A0E68">
        <w:rPr>
          <w:color w:val="595858"/>
          <w:sz w:val="22"/>
          <w:szCs w:val="22"/>
          <w:shd w:val="clear" w:color="auto" w:fill="FFFFFF"/>
        </w:rPr>
        <w:t xml:space="preserve">diminishes. </w:t>
      </w:r>
    </w:p>
    <w:p w14:paraId="46083AA4" w14:textId="77777777" w:rsidR="00D56B1B" w:rsidRDefault="00D56B1B" w:rsidP="00932649">
      <w:pPr>
        <w:pStyle w:val="Default"/>
        <w:rPr>
          <w:sz w:val="22"/>
          <w:szCs w:val="22"/>
        </w:rPr>
      </w:pPr>
    </w:p>
    <w:p w14:paraId="084B1D27" w14:textId="77777777" w:rsidR="00932649" w:rsidRDefault="00932649" w:rsidP="00932649">
      <w:pPr>
        <w:pStyle w:val="Default"/>
        <w:rPr>
          <w:rFonts w:ascii="Calibri Light" w:hAnsi="Calibri Light" w:cs="Calibri Light"/>
          <w:sz w:val="32"/>
          <w:szCs w:val="32"/>
        </w:rPr>
      </w:pPr>
      <w:r>
        <w:rPr>
          <w:rFonts w:ascii="Calibri Light" w:hAnsi="Calibri Light" w:cs="Calibri Light"/>
          <w:sz w:val="32"/>
          <w:szCs w:val="32"/>
        </w:rPr>
        <w:t xml:space="preserve">Conveyancers checklist </w:t>
      </w:r>
    </w:p>
    <w:p w14:paraId="44AA244E" w14:textId="77777777" w:rsidR="00932649" w:rsidRDefault="00932649" w:rsidP="00932649">
      <w:pPr>
        <w:pStyle w:val="Default"/>
        <w:spacing w:after="177"/>
        <w:rPr>
          <w:sz w:val="22"/>
          <w:szCs w:val="22"/>
        </w:rPr>
      </w:pPr>
      <w:r>
        <w:rPr>
          <w:rFonts w:ascii="Calibri Light" w:hAnsi="Calibri Light" w:cs="Calibri Light"/>
          <w:sz w:val="22"/>
          <w:szCs w:val="22"/>
        </w:rPr>
        <w:t xml:space="preserve">• </w:t>
      </w:r>
      <w:r>
        <w:rPr>
          <w:sz w:val="22"/>
          <w:szCs w:val="22"/>
        </w:rPr>
        <w:t xml:space="preserve">Note carefully that client confidentiality obligations continue to apply even though some or all staff may be working remotely </w:t>
      </w:r>
    </w:p>
    <w:p w14:paraId="4E3F9495" w14:textId="77777777" w:rsidR="00932649" w:rsidRDefault="00932649" w:rsidP="00932649">
      <w:pPr>
        <w:pStyle w:val="Default"/>
        <w:spacing w:after="177"/>
        <w:rPr>
          <w:sz w:val="22"/>
          <w:szCs w:val="22"/>
        </w:rPr>
      </w:pPr>
      <w:r>
        <w:rPr>
          <w:sz w:val="22"/>
          <w:szCs w:val="22"/>
        </w:rPr>
        <w:t xml:space="preserve">• Be aware that there are increased fraud risks in this new environment </w:t>
      </w:r>
    </w:p>
    <w:p w14:paraId="78340692" w14:textId="77777777" w:rsidR="00932649" w:rsidRDefault="00932649" w:rsidP="00932649">
      <w:pPr>
        <w:pStyle w:val="Default"/>
        <w:spacing w:after="177"/>
        <w:rPr>
          <w:sz w:val="22"/>
          <w:szCs w:val="22"/>
        </w:rPr>
      </w:pPr>
      <w:r>
        <w:rPr>
          <w:sz w:val="22"/>
          <w:szCs w:val="22"/>
        </w:rPr>
        <w:t xml:space="preserve">• Contact clients/consumers by use of email, video conferencing platforms, telephone etc. </w:t>
      </w:r>
    </w:p>
    <w:p w14:paraId="7EED0533" w14:textId="77777777" w:rsidR="00932649" w:rsidRDefault="00932649" w:rsidP="00932649">
      <w:pPr>
        <w:pStyle w:val="Default"/>
        <w:spacing w:after="177"/>
        <w:rPr>
          <w:sz w:val="22"/>
          <w:szCs w:val="22"/>
        </w:rPr>
      </w:pPr>
      <w:r>
        <w:rPr>
          <w:sz w:val="22"/>
          <w:szCs w:val="22"/>
        </w:rPr>
        <w:t xml:space="preserve">• Searches should be available as usual from most local authorities and providers – check the availability and discuss with the client if there are any difficulties </w:t>
      </w:r>
    </w:p>
    <w:p w14:paraId="65ED6099" w14:textId="77777777" w:rsidR="00932649" w:rsidRDefault="00932649" w:rsidP="00932649">
      <w:pPr>
        <w:pStyle w:val="Default"/>
        <w:spacing w:after="177"/>
        <w:rPr>
          <w:sz w:val="22"/>
          <w:szCs w:val="22"/>
        </w:rPr>
      </w:pPr>
      <w:r>
        <w:rPr>
          <w:sz w:val="22"/>
          <w:szCs w:val="22"/>
        </w:rPr>
        <w:t xml:space="preserve">• Check that you have the capacity to do the work before you accept instructions </w:t>
      </w:r>
    </w:p>
    <w:p w14:paraId="5E9FBD26" w14:textId="77777777" w:rsidR="00932649" w:rsidRDefault="00932649" w:rsidP="00932649">
      <w:pPr>
        <w:pStyle w:val="Default"/>
        <w:spacing w:after="177"/>
        <w:rPr>
          <w:sz w:val="22"/>
          <w:szCs w:val="22"/>
        </w:rPr>
      </w:pPr>
      <w:r>
        <w:rPr>
          <w:sz w:val="22"/>
          <w:szCs w:val="22"/>
        </w:rPr>
        <w:t xml:space="preserve">• Check to see if the clients’ lender has changed its requirements during the transaction (such as their loan-to-value requirements) </w:t>
      </w:r>
    </w:p>
    <w:p w14:paraId="31284667" w14:textId="2D9D651C" w:rsidR="00932649" w:rsidRDefault="00932649" w:rsidP="00932649">
      <w:pPr>
        <w:pStyle w:val="Default"/>
        <w:spacing w:after="177"/>
        <w:rPr>
          <w:sz w:val="22"/>
          <w:szCs w:val="22"/>
        </w:rPr>
      </w:pPr>
      <w:r>
        <w:rPr>
          <w:sz w:val="22"/>
          <w:szCs w:val="22"/>
        </w:rPr>
        <w:t xml:space="preserve">• SDLT, CGT and LTT payment dates have not been amended and tax should be paid by the due dates </w:t>
      </w:r>
      <w:r w:rsidR="009B7DF0">
        <w:rPr>
          <w:sz w:val="22"/>
          <w:szCs w:val="22"/>
        </w:rPr>
        <w:t>where payable</w:t>
      </w:r>
    </w:p>
    <w:p w14:paraId="7121B0F6" w14:textId="77777777" w:rsidR="00932649" w:rsidRDefault="00932649" w:rsidP="00932649">
      <w:pPr>
        <w:pStyle w:val="Default"/>
        <w:spacing w:after="177"/>
        <w:rPr>
          <w:sz w:val="22"/>
          <w:szCs w:val="22"/>
        </w:rPr>
      </w:pPr>
      <w:r>
        <w:rPr>
          <w:sz w:val="22"/>
          <w:szCs w:val="22"/>
        </w:rPr>
        <w:t xml:space="preserve">• Companies House and HMRC are continuing to provide services </w:t>
      </w:r>
    </w:p>
    <w:p w14:paraId="348EBB83" w14:textId="77777777" w:rsidR="00932649" w:rsidRDefault="00932649" w:rsidP="00932649">
      <w:pPr>
        <w:pStyle w:val="Default"/>
        <w:spacing w:after="177"/>
        <w:rPr>
          <w:sz w:val="22"/>
          <w:szCs w:val="22"/>
        </w:rPr>
      </w:pPr>
      <w:r>
        <w:rPr>
          <w:sz w:val="22"/>
          <w:szCs w:val="22"/>
        </w:rPr>
        <w:t xml:space="preserve">• HMLR are continuing to provide essential services that support transactions </w:t>
      </w:r>
    </w:p>
    <w:p w14:paraId="62BC6B07" w14:textId="77777777" w:rsidR="00932649" w:rsidRDefault="00932649" w:rsidP="00932649">
      <w:pPr>
        <w:pStyle w:val="Default"/>
        <w:rPr>
          <w:sz w:val="22"/>
          <w:szCs w:val="22"/>
        </w:rPr>
      </w:pPr>
      <w:r>
        <w:rPr>
          <w:sz w:val="22"/>
          <w:szCs w:val="22"/>
        </w:rPr>
        <w:t xml:space="preserve">• Time limits for making applications for registrations at HMLR and at Companies House (for company charges) have not changed. Continue to comply with the existing time limits. </w:t>
      </w:r>
    </w:p>
    <w:p w14:paraId="7162CE98" w14:textId="77777777" w:rsidR="00932649" w:rsidRDefault="00932649" w:rsidP="00932649">
      <w:pPr>
        <w:pStyle w:val="Default"/>
        <w:rPr>
          <w:sz w:val="22"/>
          <w:szCs w:val="22"/>
        </w:rPr>
      </w:pPr>
    </w:p>
    <w:p w14:paraId="769CA25D" w14:textId="77777777" w:rsidR="00932649" w:rsidRDefault="00932649" w:rsidP="00932649">
      <w:pPr>
        <w:pStyle w:val="Default"/>
        <w:rPr>
          <w:sz w:val="22"/>
          <w:szCs w:val="22"/>
        </w:rPr>
      </w:pPr>
      <w:r>
        <w:rPr>
          <w:sz w:val="22"/>
          <w:szCs w:val="22"/>
        </w:rPr>
        <w:t xml:space="preserve">While every effort has been made to ensure the accuracy of the information provided it does not constitute legal advice for any particular transaction and cannot be relied on. No legal liability is accepted by the organisations or individuals involved in preparing this information. </w:t>
      </w:r>
    </w:p>
    <w:p w14:paraId="720DC171" w14:textId="53EE9419" w:rsidR="00932649" w:rsidRPr="00443BBC" w:rsidRDefault="00932649" w:rsidP="00932649">
      <w:pPr>
        <w:pStyle w:val="Default"/>
        <w:rPr>
          <w:sz w:val="22"/>
          <w:szCs w:val="22"/>
        </w:rPr>
      </w:pPr>
      <w:r>
        <w:rPr>
          <w:sz w:val="22"/>
          <w:szCs w:val="22"/>
        </w:rPr>
        <w:t xml:space="preserve">The </w:t>
      </w:r>
      <w:r w:rsidR="00B95645">
        <w:rPr>
          <w:sz w:val="22"/>
          <w:szCs w:val="22"/>
        </w:rPr>
        <w:t>G</w:t>
      </w:r>
      <w:r>
        <w:rPr>
          <w:sz w:val="22"/>
          <w:szCs w:val="22"/>
        </w:rPr>
        <w:t>overnment has said it will continue to amend its guidance to reflect the situation as more is known about the effect</w:t>
      </w:r>
      <w:r w:rsidR="00B95645">
        <w:rPr>
          <w:sz w:val="22"/>
          <w:szCs w:val="22"/>
        </w:rPr>
        <w:t>s</w:t>
      </w:r>
      <w:r>
        <w:rPr>
          <w:sz w:val="22"/>
          <w:szCs w:val="22"/>
        </w:rPr>
        <w:t xml:space="preserve"> of the virus. Reference should always be to the latest </w:t>
      </w:r>
      <w:r w:rsidR="00174067">
        <w:rPr>
          <w:sz w:val="22"/>
          <w:szCs w:val="22"/>
        </w:rPr>
        <w:t>G</w:t>
      </w:r>
      <w:r w:rsidRPr="00443BBC">
        <w:rPr>
          <w:sz w:val="22"/>
          <w:szCs w:val="22"/>
        </w:rPr>
        <w:t xml:space="preserve">overnment guidance. </w:t>
      </w:r>
    </w:p>
    <w:p w14:paraId="33ACCE40" w14:textId="77777777" w:rsidR="009E642B" w:rsidRPr="00443BBC" w:rsidRDefault="009E642B" w:rsidP="00932649">
      <w:pPr>
        <w:pStyle w:val="Default"/>
        <w:rPr>
          <w:sz w:val="22"/>
          <w:szCs w:val="22"/>
        </w:rPr>
      </w:pPr>
    </w:p>
    <w:p w14:paraId="761802EA" w14:textId="4155CE79" w:rsidR="00F77C75" w:rsidRPr="002962D6" w:rsidRDefault="00932649" w:rsidP="00932649">
      <w:pPr>
        <w:rPr>
          <w:rFonts w:ascii="Arial" w:hAnsi="Arial" w:cs="Arial"/>
        </w:rPr>
      </w:pPr>
      <w:r w:rsidRPr="00443BBC">
        <w:rPr>
          <w:rFonts w:ascii="Arial" w:hAnsi="Arial" w:cs="Arial"/>
        </w:rPr>
        <w:lastRenderedPageBreak/>
        <w:t>If there’s anything that’s incorrect in this information,</w:t>
      </w:r>
      <w:r w:rsidR="005B382F">
        <w:rPr>
          <w:rFonts w:ascii="Arial" w:hAnsi="Arial" w:cs="Arial"/>
        </w:rPr>
        <w:t xml:space="preserve"> please</w:t>
      </w:r>
      <w:r w:rsidRPr="00443BBC">
        <w:rPr>
          <w:rFonts w:ascii="Arial" w:hAnsi="Arial" w:cs="Arial"/>
        </w:rPr>
        <w:t xml:space="preserve"> email details to </w:t>
      </w:r>
      <w:hyperlink r:id="rId17" w:history="1">
        <w:r w:rsidR="00F77C75" w:rsidRPr="00443BBC">
          <w:rPr>
            <w:rStyle w:val="Hyperlink"/>
            <w:rFonts w:ascii="Arial" w:hAnsi="Arial" w:cs="Arial"/>
          </w:rPr>
          <w:t>property@lawsociety.org.uk</w:t>
        </w:r>
      </w:hyperlink>
      <w:r w:rsidRPr="00443BBC">
        <w:rPr>
          <w:rFonts w:ascii="Arial" w:hAnsi="Arial" w:cs="Arial"/>
        </w:rPr>
        <w:t>.</w:t>
      </w:r>
    </w:p>
    <w:sectPr w:rsidR="00F77C75" w:rsidRPr="002962D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ctoria Geroe" w:date="2021-02-02T15:58:00Z" w:initials="VG">
    <w:p w14:paraId="06CE8438" w14:textId="7242632F" w:rsidR="00863067" w:rsidRDefault="00863067">
      <w:pPr>
        <w:pStyle w:val="CommentText"/>
      </w:pPr>
      <w:r>
        <w:rPr>
          <w:rStyle w:val="CommentReference"/>
        </w:rPr>
        <w:annotationRef/>
      </w:r>
      <w:r>
        <w:t>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CE84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90BF" w16cex:dateUtc="2021-01-19T17:09:00Z"/>
  <w16cex:commentExtensible w16cex:durableId="23B19253" w16cex:dateUtc="2021-01-19T17:16:00Z"/>
  <w16cex:commentExtensible w16cex:durableId="23B192D6" w16cex:dateUtc="2021-01-19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E8438" w16cid:durableId="23C3F5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038B"/>
    <w:multiLevelType w:val="multilevel"/>
    <w:tmpl w:val="3170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E65BE"/>
    <w:multiLevelType w:val="multilevel"/>
    <w:tmpl w:val="D51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A27FC"/>
    <w:multiLevelType w:val="hybridMultilevel"/>
    <w:tmpl w:val="0D34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B796A"/>
    <w:multiLevelType w:val="multilevel"/>
    <w:tmpl w:val="6BA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92882"/>
    <w:multiLevelType w:val="hybridMultilevel"/>
    <w:tmpl w:val="820C97A2"/>
    <w:lvl w:ilvl="0" w:tplc="A9025D8E">
      <w:start w:val="1"/>
      <w:numFmt w:val="bullet"/>
      <w:lvlText w:val=""/>
      <w:lvlJc w:val="left"/>
      <w:pPr>
        <w:ind w:left="720" w:hanging="360"/>
      </w:pPr>
      <w:rPr>
        <w:rFonts w:ascii="Symbol" w:hAnsi="Symbol" w:hint="default"/>
      </w:rPr>
    </w:lvl>
    <w:lvl w:ilvl="1" w:tplc="6F546696">
      <w:start w:val="1"/>
      <w:numFmt w:val="bullet"/>
      <w:lvlText w:val="o"/>
      <w:lvlJc w:val="left"/>
      <w:pPr>
        <w:ind w:left="1440" w:hanging="360"/>
      </w:pPr>
      <w:rPr>
        <w:rFonts w:ascii="Courier New" w:hAnsi="Courier New" w:cs="Courier New" w:hint="default"/>
      </w:rPr>
    </w:lvl>
    <w:lvl w:ilvl="2" w:tplc="1F8A4CDE">
      <w:start w:val="1"/>
      <w:numFmt w:val="bullet"/>
      <w:lvlText w:val=""/>
      <w:lvlJc w:val="left"/>
      <w:pPr>
        <w:ind w:left="2160" w:hanging="360"/>
      </w:pPr>
      <w:rPr>
        <w:rFonts w:ascii="Wingdings" w:hAnsi="Wingdings" w:hint="default"/>
      </w:rPr>
    </w:lvl>
    <w:lvl w:ilvl="3" w:tplc="3E4AEE22">
      <w:start w:val="1"/>
      <w:numFmt w:val="bullet"/>
      <w:lvlText w:val=""/>
      <w:lvlJc w:val="left"/>
      <w:pPr>
        <w:ind w:left="2880" w:hanging="360"/>
      </w:pPr>
      <w:rPr>
        <w:rFonts w:ascii="Symbol" w:hAnsi="Symbol" w:hint="default"/>
      </w:rPr>
    </w:lvl>
    <w:lvl w:ilvl="4" w:tplc="19FADD2A">
      <w:start w:val="1"/>
      <w:numFmt w:val="bullet"/>
      <w:lvlText w:val="o"/>
      <w:lvlJc w:val="left"/>
      <w:pPr>
        <w:ind w:left="3600" w:hanging="360"/>
      </w:pPr>
      <w:rPr>
        <w:rFonts w:ascii="Courier New" w:hAnsi="Courier New" w:cs="Courier New" w:hint="default"/>
      </w:rPr>
    </w:lvl>
    <w:lvl w:ilvl="5" w:tplc="494EC85E">
      <w:start w:val="1"/>
      <w:numFmt w:val="bullet"/>
      <w:lvlText w:val=""/>
      <w:lvlJc w:val="left"/>
      <w:pPr>
        <w:ind w:left="4320" w:hanging="360"/>
      </w:pPr>
      <w:rPr>
        <w:rFonts w:ascii="Wingdings" w:hAnsi="Wingdings" w:hint="default"/>
      </w:rPr>
    </w:lvl>
    <w:lvl w:ilvl="6" w:tplc="637C06E8">
      <w:start w:val="1"/>
      <w:numFmt w:val="bullet"/>
      <w:lvlText w:val=""/>
      <w:lvlJc w:val="left"/>
      <w:pPr>
        <w:ind w:left="5040" w:hanging="360"/>
      </w:pPr>
      <w:rPr>
        <w:rFonts w:ascii="Symbol" w:hAnsi="Symbol" w:hint="default"/>
      </w:rPr>
    </w:lvl>
    <w:lvl w:ilvl="7" w:tplc="4C6C2CDC">
      <w:start w:val="1"/>
      <w:numFmt w:val="bullet"/>
      <w:lvlText w:val="o"/>
      <w:lvlJc w:val="left"/>
      <w:pPr>
        <w:ind w:left="5760" w:hanging="360"/>
      </w:pPr>
      <w:rPr>
        <w:rFonts w:ascii="Courier New" w:hAnsi="Courier New" w:cs="Courier New" w:hint="default"/>
      </w:rPr>
    </w:lvl>
    <w:lvl w:ilvl="8" w:tplc="4FCA8DDE">
      <w:start w:val="1"/>
      <w:numFmt w:val="bullet"/>
      <w:lvlText w:val=""/>
      <w:lvlJc w:val="left"/>
      <w:pPr>
        <w:ind w:left="6480" w:hanging="360"/>
      </w:pPr>
      <w:rPr>
        <w:rFonts w:ascii="Wingdings" w:hAnsi="Wingdings" w:hint="default"/>
      </w:rPr>
    </w:lvl>
  </w:abstractNum>
  <w:abstractNum w:abstractNumId="5" w15:restartNumberingAfterBreak="0">
    <w:nsid w:val="2D4867E0"/>
    <w:multiLevelType w:val="hybridMultilevel"/>
    <w:tmpl w:val="A8B6DEB2"/>
    <w:lvl w:ilvl="0" w:tplc="E36C4BE2">
      <w:start w:val="1"/>
      <w:numFmt w:val="bullet"/>
      <w:lvlText w:val=""/>
      <w:lvlJc w:val="left"/>
      <w:pPr>
        <w:ind w:left="720" w:hanging="360"/>
      </w:pPr>
      <w:rPr>
        <w:rFonts w:ascii="Symbol" w:hAnsi="Symbol" w:hint="default"/>
      </w:rPr>
    </w:lvl>
    <w:lvl w:ilvl="1" w:tplc="B2A28D06" w:tentative="1">
      <w:start w:val="1"/>
      <w:numFmt w:val="bullet"/>
      <w:lvlText w:val="o"/>
      <w:lvlJc w:val="left"/>
      <w:pPr>
        <w:ind w:left="1440" w:hanging="360"/>
      </w:pPr>
      <w:rPr>
        <w:rFonts w:ascii="Courier New" w:hAnsi="Courier New" w:cs="Courier New" w:hint="default"/>
      </w:rPr>
    </w:lvl>
    <w:lvl w:ilvl="2" w:tplc="916A25FC" w:tentative="1">
      <w:start w:val="1"/>
      <w:numFmt w:val="bullet"/>
      <w:lvlText w:val=""/>
      <w:lvlJc w:val="left"/>
      <w:pPr>
        <w:ind w:left="2160" w:hanging="360"/>
      </w:pPr>
      <w:rPr>
        <w:rFonts w:ascii="Wingdings" w:hAnsi="Wingdings" w:hint="default"/>
      </w:rPr>
    </w:lvl>
    <w:lvl w:ilvl="3" w:tplc="A10603A4" w:tentative="1">
      <w:start w:val="1"/>
      <w:numFmt w:val="bullet"/>
      <w:lvlText w:val=""/>
      <w:lvlJc w:val="left"/>
      <w:pPr>
        <w:ind w:left="2880" w:hanging="360"/>
      </w:pPr>
      <w:rPr>
        <w:rFonts w:ascii="Symbol" w:hAnsi="Symbol" w:hint="default"/>
      </w:rPr>
    </w:lvl>
    <w:lvl w:ilvl="4" w:tplc="F724A55E" w:tentative="1">
      <w:start w:val="1"/>
      <w:numFmt w:val="bullet"/>
      <w:lvlText w:val="o"/>
      <w:lvlJc w:val="left"/>
      <w:pPr>
        <w:ind w:left="3600" w:hanging="360"/>
      </w:pPr>
      <w:rPr>
        <w:rFonts w:ascii="Courier New" w:hAnsi="Courier New" w:cs="Courier New" w:hint="default"/>
      </w:rPr>
    </w:lvl>
    <w:lvl w:ilvl="5" w:tplc="A46C4B4E" w:tentative="1">
      <w:start w:val="1"/>
      <w:numFmt w:val="bullet"/>
      <w:lvlText w:val=""/>
      <w:lvlJc w:val="left"/>
      <w:pPr>
        <w:ind w:left="4320" w:hanging="360"/>
      </w:pPr>
      <w:rPr>
        <w:rFonts w:ascii="Wingdings" w:hAnsi="Wingdings" w:hint="default"/>
      </w:rPr>
    </w:lvl>
    <w:lvl w:ilvl="6" w:tplc="873A36D8" w:tentative="1">
      <w:start w:val="1"/>
      <w:numFmt w:val="bullet"/>
      <w:lvlText w:val=""/>
      <w:lvlJc w:val="left"/>
      <w:pPr>
        <w:ind w:left="5040" w:hanging="360"/>
      </w:pPr>
      <w:rPr>
        <w:rFonts w:ascii="Symbol" w:hAnsi="Symbol" w:hint="default"/>
      </w:rPr>
    </w:lvl>
    <w:lvl w:ilvl="7" w:tplc="5B96EB08" w:tentative="1">
      <w:start w:val="1"/>
      <w:numFmt w:val="bullet"/>
      <w:lvlText w:val="o"/>
      <w:lvlJc w:val="left"/>
      <w:pPr>
        <w:ind w:left="5760" w:hanging="360"/>
      </w:pPr>
      <w:rPr>
        <w:rFonts w:ascii="Courier New" w:hAnsi="Courier New" w:cs="Courier New" w:hint="default"/>
      </w:rPr>
    </w:lvl>
    <w:lvl w:ilvl="8" w:tplc="47607DF4" w:tentative="1">
      <w:start w:val="1"/>
      <w:numFmt w:val="bullet"/>
      <w:lvlText w:val=""/>
      <w:lvlJc w:val="left"/>
      <w:pPr>
        <w:ind w:left="6480" w:hanging="360"/>
      </w:pPr>
      <w:rPr>
        <w:rFonts w:ascii="Wingdings" w:hAnsi="Wingdings" w:hint="default"/>
      </w:rPr>
    </w:lvl>
  </w:abstractNum>
  <w:abstractNum w:abstractNumId="6" w15:restartNumberingAfterBreak="0">
    <w:nsid w:val="303D5DB3"/>
    <w:multiLevelType w:val="hybridMultilevel"/>
    <w:tmpl w:val="BD5A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7D6BA1"/>
    <w:multiLevelType w:val="hybridMultilevel"/>
    <w:tmpl w:val="1B4CAB88"/>
    <w:lvl w:ilvl="0" w:tplc="4FC490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533B69"/>
    <w:multiLevelType w:val="multilevel"/>
    <w:tmpl w:val="EDE054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CE6F32"/>
    <w:multiLevelType w:val="multilevel"/>
    <w:tmpl w:val="5290BA7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D614B9A"/>
    <w:multiLevelType w:val="hybridMultilevel"/>
    <w:tmpl w:val="35E84F92"/>
    <w:lvl w:ilvl="0" w:tplc="9F1C81AA">
      <w:start w:val="1"/>
      <w:numFmt w:val="decimal"/>
      <w:lvlText w:val="%1)"/>
      <w:lvlJc w:val="left"/>
      <w:pPr>
        <w:ind w:left="720" w:hanging="360"/>
      </w:pPr>
      <w:rPr>
        <w:rFonts w:hint="default"/>
      </w:rPr>
    </w:lvl>
    <w:lvl w:ilvl="1" w:tplc="E856E77E" w:tentative="1">
      <w:start w:val="1"/>
      <w:numFmt w:val="bullet"/>
      <w:lvlText w:val="o"/>
      <w:lvlJc w:val="left"/>
      <w:pPr>
        <w:ind w:left="1440" w:hanging="360"/>
      </w:pPr>
      <w:rPr>
        <w:rFonts w:ascii="Courier New" w:hAnsi="Courier New" w:cs="Courier New" w:hint="default"/>
      </w:rPr>
    </w:lvl>
    <w:lvl w:ilvl="2" w:tplc="8C4265DA" w:tentative="1">
      <w:start w:val="1"/>
      <w:numFmt w:val="bullet"/>
      <w:lvlText w:val=""/>
      <w:lvlJc w:val="left"/>
      <w:pPr>
        <w:ind w:left="2160" w:hanging="360"/>
      </w:pPr>
      <w:rPr>
        <w:rFonts w:ascii="Wingdings" w:hAnsi="Wingdings" w:hint="default"/>
      </w:rPr>
    </w:lvl>
    <w:lvl w:ilvl="3" w:tplc="DCCABD90" w:tentative="1">
      <w:start w:val="1"/>
      <w:numFmt w:val="bullet"/>
      <w:lvlText w:val=""/>
      <w:lvlJc w:val="left"/>
      <w:pPr>
        <w:ind w:left="2880" w:hanging="360"/>
      </w:pPr>
      <w:rPr>
        <w:rFonts w:ascii="Symbol" w:hAnsi="Symbol" w:hint="default"/>
      </w:rPr>
    </w:lvl>
    <w:lvl w:ilvl="4" w:tplc="BB380E46" w:tentative="1">
      <w:start w:val="1"/>
      <w:numFmt w:val="bullet"/>
      <w:lvlText w:val="o"/>
      <w:lvlJc w:val="left"/>
      <w:pPr>
        <w:ind w:left="3600" w:hanging="360"/>
      </w:pPr>
      <w:rPr>
        <w:rFonts w:ascii="Courier New" w:hAnsi="Courier New" w:cs="Courier New" w:hint="default"/>
      </w:rPr>
    </w:lvl>
    <w:lvl w:ilvl="5" w:tplc="DCD80188" w:tentative="1">
      <w:start w:val="1"/>
      <w:numFmt w:val="bullet"/>
      <w:lvlText w:val=""/>
      <w:lvlJc w:val="left"/>
      <w:pPr>
        <w:ind w:left="4320" w:hanging="360"/>
      </w:pPr>
      <w:rPr>
        <w:rFonts w:ascii="Wingdings" w:hAnsi="Wingdings" w:hint="default"/>
      </w:rPr>
    </w:lvl>
    <w:lvl w:ilvl="6" w:tplc="F872BB5C" w:tentative="1">
      <w:start w:val="1"/>
      <w:numFmt w:val="bullet"/>
      <w:lvlText w:val=""/>
      <w:lvlJc w:val="left"/>
      <w:pPr>
        <w:ind w:left="5040" w:hanging="360"/>
      </w:pPr>
      <w:rPr>
        <w:rFonts w:ascii="Symbol" w:hAnsi="Symbol" w:hint="default"/>
      </w:rPr>
    </w:lvl>
    <w:lvl w:ilvl="7" w:tplc="4D46D77E" w:tentative="1">
      <w:start w:val="1"/>
      <w:numFmt w:val="bullet"/>
      <w:lvlText w:val="o"/>
      <w:lvlJc w:val="left"/>
      <w:pPr>
        <w:ind w:left="5760" w:hanging="360"/>
      </w:pPr>
      <w:rPr>
        <w:rFonts w:ascii="Courier New" w:hAnsi="Courier New" w:cs="Courier New" w:hint="default"/>
      </w:rPr>
    </w:lvl>
    <w:lvl w:ilvl="8" w:tplc="BB0E853C"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9"/>
  </w:num>
  <w:num w:numId="5">
    <w:abstractNumId w:val="6"/>
  </w:num>
  <w:num w:numId="6">
    <w:abstractNumId w:val="2"/>
  </w:num>
  <w:num w:numId="7">
    <w:abstractNumId w:val="7"/>
  </w:num>
  <w:num w:numId="8">
    <w:abstractNumId w:val="5"/>
  </w:num>
  <w:num w:numId="9">
    <w:abstractNumId w:val="3"/>
  </w:num>
  <w:num w:numId="10">
    <w:abstractNumId w:val="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Geroe">
    <w15:presenceInfo w15:providerId="AD" w15:userId="S::Victoria.Geroe@lawsociety.org.uk::8cff67ac-7c87-43ab-a5d7-c39afb0ca9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25"/>
    <w:rsid w:val="00000EC5"/>
    <w:rsid w:val="000317EE"/>
    <w:rsid w:val="00041926"/>
    <w:rsid w:val="0004746C"/>
    <w:rsid w:val="0005212B"/>
    <w:rsid w:val="000562F5"/>
    <w:rsid w:val="000655C3"/>
    <w:rsid w:val="00094779"/>
    <w:rsid w:val="000A383C"/>
    <w:rsid w:val="000A7415"/>
    <w:rsid w:val="000A7F40"/>
    <w:rsid w:val="000B276A"/>
    <w:rsid w:val="000F2BCB"/>
    <w:rsid w:val="00103C18"/>
    <w:rsid w:val="00107055"/>
    <w:rsid w:val="00123F49"/>
    <w:rsid w:val="001405FD"/>
    <w:rsid w:val="001479E7"/>
    <w:rsid w:val="0015669B"/>
    <w:rsid w:val="00162897"/>
    <w:rsid w:val="00163056"/>
    <w:rsid w:val="00174067"/>
    <w:rsid w:val="00175369"/>
    <w:rsid w:val="00185A44"/>
    <w:rsid w:val="001A02E2"/>
    <w:rsid w:val="001D0E38"/>
    <w:rsid w:val="001D3BEB"/>
    <w:rsid w:val="001D7A3F"/>
    <w:rsid w:val="001E5D19"/>
    <w:rsid w:val="00203125"/>
    <w:rsid w:val="00224E39"/>
    <w:rsid w:val="0022703D"/>
    <w:rsid w:val="002460F9"/>
    <w:rsid w:val="00292706"/>
    <w:rsid w:val="002962D6"/>
    <w:rsid w:val="002A202F"/>
    <w:rsid w:val="002A6E21"/>
    <w:rsid w:val="002B2300"/>
    <w:rsid w:val="002C1A4B"/>
    <w:rsid w:val="002C208F"/>
    <w:rsid w:val="002C7A1D"/>
    <w:rsid w:val="002F33C1"/>
    <w:rsid w:val="00304A58"/>
    <w:rsid w:val="00307947"/>
    <w:rsid w:val="00311985"/>
    <w:rsid w:val="003217D2"/>
    <w:rsid w:val="003355A8"/>
    <w:rsid w:val="00342F65"/>
    <w:rsid w:val="0034478F"/>
    <w:rsid w:val="003545EA"/>
    <w:rsid w:val="003642C9"/>
    <w:rsid w:val="00390BC0"/>
    <w:rsid w:val="003A05F0"/>
    <w:rsid w:val="003A3B2F"/>
    <w:rsid w:val="003A67CE"/>
    <w:rsid w:val="003B2EE6"/>
    <w:rsid w:val="003B76C2"/>
    <w:rsid w:val="003C5439"/>
    <w:rsid w:val="003D2107"/>
    <w:rsid w:val="003E34E9"/>
    <w:rsid w:val="003F125D"/>
    <w:rsid w:val="00407197"/>
    <w:rsid w:val="00407E26"/>
    <w:rsid w:val="00415FB6"/>
    <w:rsid w:val="00425508"/>
    <w:rsid w:val="00443BBC"/>
    <w:rsid w:val="00450998"/>
    <w:rsid w:val="00460749"/>
    <w:rsid w:val="00461557"/>
    <w:rsid w:val="0047007B"/>
    <w:rsid w:val="00492107"/>
    <w:rsid w:val="00497379"/>
    <w:rsid w:val="004A50FB"/>
    <w:rsid w:val="004A5C6F"/>
    <w:rsid w:val="004B3CFE"/>
    <w:rsid w:val="004B7652"/>
    <w:rsid w:val="004C1231"/>
    <w:rsid w:val="004C362F"/>
    <w:rsid w:val="004D44DF"/>
    <w:rsid w:val="004E00D7"/>
    <w:rsid w:val="004F2AE1"/>
    <w:rsid w:val="004F40FC"/>
    <w:rsid w:val="004F68BE"/>
    <w:rsid w:val="0051213A"/>
    <w:rsid w:val="00512712"/>
    <w:rsid w:val="00521DF6"/>
    <w:rsid w:val="00525721"/>
    <w:rsid w:val="005400D4"/>
    <w:rsid w:val="00544F76"/>
    <w:rsid w:val="00565A3D"/>
    <w:rsid w:val="0056674E"/>
    <w:rsid w:val="0056758E"/>
    <w:rsid w:val="00567812"/>
    <w:rsid w:val="0057342D"/>
    <w:rsid w:val="00577A50"/>
    <w:rsid w:val="00586652"/>
    <w:rsid w:val="00593BA6"/>
    <w:rsid w:val="005A10F7"/>
    <w:rsid w:val="005A5FB9"/>
    <w:rsid w:val="005B3396"/>
    <w:rsid w:val="005B382F"/>
    <w:rsid w:val="005D2C66"/>
    <w:rsid w:val="005E1887"/>
    <w:rsid w:val="005E18A4"/>
    <w:rsid w:val="005F1614"/>
    <w:rsid w:val="00603950"/>
    <w:rsid w:val="00605E9B"/>
    <w:rsid w:val="00615F36"/>
    <w:rsid w:val="0061749B"/>
    <w:rsid w:val="00623262"/>
    <w:rsid w:val="006244D9"/>
    <w:rsid w:val="0062640C"/>
    <w:rsid w:val="0062741F"/>
    <w:rsid w:val="0064050A"/>
    <w:rsid w:val="00640E5F"/>
    <w:rsid w:val="00642720"/>
    <w:rsid w:val="00654027"/>
    <w:rsid w:val="00657F91"/>
    <w:rsid w:val="0067179E"/>
    <w:rsid w:val="00691251"/>
    <w:rsid w:val="00693147"/>
    <w:rsid w:val="00697B29"/>
    <w:rsid w:val="006A093D"/>
    <w:rsid w:val="006A7467"/>
    <w:rsid w:val="006B1525"/>
    <w:rsid w:val="006B4763"/>
    <w:rsid w:val="006B7536"/>
    <w:rsid w:val="006D08FD"/>
    <w:rsid w:val="006E13BB"/>
    <w:rsid w:val="006E31C6"/>
    <w:rsid w:val="006E5F00"/>
    <w:rsid w:val="006E7615"/>
    <w:rsid w:val="006F0F47"/>
    <w:rsid w:val="006F625E"/>
    <w:rsid w:val="0070605A"/>
    <w:rsid w:val="00714299"/>
    <w:rsid w:val="00724DBD"/>
    <w:rsid w:val="0072583F"/>
    <w:rsid w:val="00727F2E"/>
    <w:rsid w:val="00733A7F"/>
    <w:rsid w:val="00743251"/>
    <w:rsid w:val="00751415"/>
    <w:rsid w:val="00755378"/>
    <w:rsid w:val="00761D42"/>
    <w:rsid w:val="0076505F"/>
    <w:rsid w:val="007719F6"/>
    <w:rsid w:val="007725C5"/>
    <w:rsid w:val="007903C0"/>
    <w:rsid w:val="0079230B"/>
    <w:rsid w:val="00795401"/>
    <w:rsid w:val="007A033C"/>
    <w:rsid w:val="007B008D"/>
    <w:rsid w:val="007B2F2A"/>
    <w:rsid w:val="007B3662"/>
    <w:rsid w:val="007C7807"/>
    <w:rsid w:val="007D5C08"/>
    <w:rsid w:val="007D6BBE"/>
    <w:rsid w:val="007D6D7C"/>
    <w:rsid w:val="007E63A6"/>
    <w:rsid w:val="00811CE9"/>
    <w:rsid w:val="00816B22"/>
    <w:rsid w:val="00832121"/>
    <w:rsid w:val="00833605"/>
    <w:rsid w:val="00843B1A"/>
    <w:rsid w:val="00843C6E"/>
    <w:rsid w:val="00850E5F"/>
    <w:rsid w:val="0085540B"/>
    <w:rsid w:val="00863067"/>
    <w:rsid w:val="00865B5F"/>
    <w:rsid w:val="00870905"/>
    <w:rsid w:val="00881DDE"/>
    <w:rsid w:val="008910A5"/>
    <w:rsid w:val="008B5082"/>
    <w:rsid w:val="008B6A72"/>
    <w:rsid w:val="008D2E5D"/>
    <w:rsid w:val="008D4B2C"/>
    <w:rsid w:val="008F2A35"/>
    <w:rsid w:val="008F5852"/>
    <w:rsid w:val="008F5BC5"/>
    <w:rsid w:val="00902A66"/>
    <w:rsid w:val="0090317B"/>
    <w:rsid w:val="00903EBA"/>
    <w:rsid w:val="00904E3E"/>
    <w:rsid w:val="00915DE6"/>
    <w:rsid w:val="00925978"/>
    <w:rsid w:val="00932649"/>
    <w:rsid w:val="009330E8"/>
    <w:rsid w:val="00936035"/>
    <w:rsid w:val="009440D3"/>
    <w:rsid w:val="00945C5B"/>
    <w:rsid w:val="009534BE"/>
    <w:rsid w:val="00957ED4"/>
    <w:rsid w:val="00964E11"/>
    <w:rsid w:val="00980479"/>
    <w:rsid w:val="00983F0F"/>
    <w:rsid w:val="00992F8E"/>
    <w:rsid w:val="00993F06"/>
    <w:rsid w:val="009A0189"/>
    <w:rsid w:val="009A0E68"/>
    <w:rsid w:val="009A1E9A"/>
    <w:rsid w:val="009B7DF0"/>
    <w:rsid w:val="009C65D9"/>
    <w:rsid w:val="009D4365"/>
    <w:rsid w:val="009D7E04"/>
    <w:rsid w:val="009E642B"/>
    <w:rsid w:val="009F5D04"/>
    <w:rsid w:val="009F7535"/>
    <w:rsid w:val="00A03792"/>
    <w:rsid w:val="00A03E17"/>
    <w:rsid w:val="00A10D91"/>
    <w:rsid w:val="00A12B41"/>
    <w:rsid w:val="00A242D7"/>
    <w:rsid w:val="00A25F50"/>
    <w:rsid w:val="00A32EA1"/>
    <w:rsid w:val="00A34D8B"/>
    <w:rsid w:val="00A50A19"/>
    <w:rsid w:val="00A5283F"/>
    <w:rsid w:val="00A6773E"/>
    <w:rsid w:val="00A72925"/>
    <w:rsid w:val="00A9520B"/>
    <w:rsid w:val="00AA6E08"/>
    <w:rsid w:val="00AB12F4"/>
    <w:rsid w:val="00AC463D"/>
    <w:rsid w:val="00AF60C1"/>
    <w:rsid w:val="00AF62F9"/>
    <w:rsid w:val="00B0395A"/>
    <w:rsid w:val="00B15759"/>
    <w:rsid w:val="00B15F46"/>
    <w:rsid w:val="00B229AC"/>
    <w:rsid w:val="00B307D5"/>
    <w:rsid w:val="00B34959"/>
    <w:rsid w:val="00B42470"/>
    <w:rsid w:val="00B4402D"/>
    <w:rsid w:val="00B64E75"/>
    <w:rsid w:val="00B740AD"/>
    <w:rsid w:val="00B83085"/>
    <w:rsid w:val="00B84DD2"/>
    <w:rsid w:val="00B95645"/>
    <w:rsid w:val="00BA181B"/>
    <w:rsid w:val="00BB1404"/>
    <w:rsid w:val="00BB3849"/>
    <w:rsid w:val="00BB395E"/>
    <w:rsid w:val="00BC0273"/>
    <w:rsid w:val="00BC1F80"/>
    <w:rsid w:val="00BC317E"/>
    <w:rsid w:val="00BC498E"/>
    <w:rsid w:val="00BD01E6"/>
    <w:rsid w:val="00BE09BF"/>
    <w:rsid w:val="00BE1BAE"/>
    <w:rsid w:val="00BE52C6"/>
    <w:rsid w:val="00BF5F1A"/>
    <w:rsid w:val="00C02DAC"/>
    <w:rsid w:val="00C071E4"/>
    <w:rsid w:val="00C15959"/>
    <w:rsid w:val="00C24CAB"/>
    <w:rsid w:val="00C34A18"/>
    <w:rsid w:val="00C4217D"/>
    <w:rsid w:val="00C431F6"/>
    <w:rsid w:val="00C44555"/>
    <w:rsid w:val="00C51E54"/>
    <w:rsid w:val="00C6266D"/>
    <w:rsid w:val="00C648A7"/>
    <w:rsid w:val="00C65ED7"/>
    <w:rsid w:val="00C70D30"/>
    <w:rsid w:val="00C7106C"/>
    <w:rsid w:val="00C71AAF"/>
    <w:rsid w:val="00C86215"/>
    <w:rsid w:val="00C92E1A"/>
    <w:rsid w:val="00C93B93"/>
    <w:rsid w:val="00CB0A9C"/>
    <w:rsid w:val="00CB2575"/>
    <w:rsid w:val="00CB5433"/>
    <w:rsid w:val="00CB6A9A"/>
    <w:rsid w:val="00CD381C"/>
    <w:rsid w:val="00CE1604"/>
    <w:rsid w:val="00CE31D1"/>
    <w:rsid w:val="00D007A8"/>
    <w:rsid w:val="00D02C40"/>
    <w:rsid w:val="00D04282"/>
    <w:rsid w:val="00D12009"/>
    <w:rsid w:val="00D335B8"/>
    <w:rsid w:val="00D40516"/>
    <w:rsid w:val="00D46950"/>
    <w:rsid w:val="00D563E1"/>
    <w:rsid w:val="00D56B1B"/>
    <w:rsid w:val="00D57A59"/>
    <w:rsid w:val="00D91468"/>
    <w:rsid w:val="00D91DC9"/>
    <w:rsid w:val="00DA249C"/>
    <w:rsid w:val="00DA5A91"/>
    <w:rsid w:val="00DB672D"/>
    <w:rsid w:val="00DC29F9"/>
    <w:rsid w:val="00DD5EC8"/>
    <w:rsid w:val="00DE2F59"/>
    <w:rsid w:val="00DE6B24"/>
    <w:rsid w:val="00E00198"/>
    <w:rsid w:val="00E01115"/>
    <w:rsid w:val="00E162AC"/>
    <w:rsid w:val="00E2095B"/>
    <w:rsid w:val="00E25920"/>
    <w:rsid w:val="00E31225"/>
    <w:rsid w:val="00E35BC2"/>
    <w:rsid w:val="00E64C61"/>
    <w:rsid w:val="00E736D1"/>
    <w:rsid w:val="00E76813"/>
    <w:rsid w:val="00E77B9A"/>
    <w:rsid w:val="00E91D25"/>
    <w:rsid w:val="00E93DEC"/>
    <w:rsid w:val="00E9465A"/>
    <w:rsid w:val="00E96CD3"/>
    <w:rsid w:val="00EA0271"/>
    <w:rsid w:val="00ED67CE"/>
    <w:rsid w:val="00EE1E21"/>
    <w:rsid w:val="00EE4C8B"/>
    <w:rsid w:val="00EE7AAE"/>
    <w:rsid w:val="00EF0D67"/>
    <w:rsid w:val="00EF5A12"/>
    <w:rsid w:val="00F0334B"/>
    <w:rsid w:val="00F11BA7"/>
    <w:rsid w:val="00F13A37"/>
    <w:rsid w:val="00F16356"/>
    <w:rsid w:val="00F206C5"/>
    <w:rsid w:val="00F341BF"/>
    <w:rsid w:val="00F46A65"/>
    <w:rsid w:val="00F524A4"/>
    <w:rsid w:val="00F566E3"/>
    <w:rsid w:val="00F7631F"/>
    <w:rsid w:val="00F77C75"/>
    <w:rsid w:val="00F858F7"/>
    <w:rsid w:val="00F8604E"/>
    <w:rsid w:val="00F96CD6"/>
    <w:rsid w:val="00F96DC6"/>
    <w:rsid w:val="00FC5E8C"/>
    <w:rsid w:val="00FD0248"/>
    <w:rsid w:val="00FD08D2"/>
    <w:rsid w:val="00FD0C6A"/>
    <w:rsid w:val="00FD110A"/>
    <w:rsid w:val="00FD4AA8"/>
    <w:rsid w:val="00FE153C"/>
    <w:rsid w:val="00FF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03A0"/>
  <w15:chartTrackingRefBased/>
  <w15:docId w15:val="{F3C6B4C8-85E0-4E90-8E18-FC4C4F9D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729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4C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A72925"/>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925"/>
    <w:rPr>
      <w:rFonts w:ascii="Times New Roman" w:eastAsia="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rsid w:val="00A72925"/>
    <w:rPr>
      <w:rFonts w:ascii="Times New Roman" w:eastAsia="Times New Roman" w:hAnsi="Times New Roman" w:cs="Times New Roman"/>
      <w:b/>
      <w:bCs/>
      <w:sz w:val="15"/>
      <w:szCs w:val="15"/>
      <w:lang w:eastAsia="en-GB"/>
    </w:rPr>
  </w:style>
  <w:style w:type="character" w:customStyle="1" w:styleId="metadata-bullet">
    <w:name w:val="metadata-bullet"/>
    <w:basedOn w:val="DefaultParagraphFont"/>
    <w:rsid w:val="00A72925"/>
  </w:style>
  <w:style w:type="character" w:styleId="Hyperlink">
    <w:name w:val="Hyperlink"/>
    <w:basedOn w:val="DefaultParagraphFont"/>
    <w:uiPriority w:val="99"/>
    <w:unhideWhenUsed/>
    <w:rsid w:val="00A72925"/>
    <w:rPr>
      <w:color w:val="0000FF"/>
      <w:u w:val="single"/>
    </w:rPr>
  </w:style>
  <w:style w:type="character" w:customStyle="1" w:styleId="print-text">
    <w:name w:val="print-text"/>
    <w:basedOn w:val="DefaultParagraphFont"/>
    <w:rsid w:val="00A72925"/>
  </w:style>
  <w:style w:type="character" w:customStyle="1" w:styleId="bookmark-text">
    <w:name w:val="bookmark-text"/>
    <w:basedOn w:val="DefaultParagraphFont"/>
    <w:rsid w:val="00A72925"/>
  </w:style>
  <w:style w:type="paragraph" w:styleId="NormalWeb">
    <w:name w:val="Normal (Web)"/>
    <w:basedOn w:val="Normal"/>
    <w:uiPriority w:val="99"/>
    <w:unhideWhenUsed/>
    <w:rsid w:val="00A729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72925"/>
    <w:rPr>
      <w:i/>
      <w:iCs/>
    </w:rPr>
  </w:style>
  <w:style w:type="paragraph" w:customStyle="1" w:styleId="Default">
    <w:name w:val="Default"/>
    <w:rsid w:val="00640E5F"/>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103C18"/>
  </w:style>
  <w:style w:type="paragraph" w:styleId="BalloonText">
    <w:name w:val="Balloon Text"/>
    <w:basedOn w:val="Normal"/>
    <w:link w:val="BalloonTextChar"/>
    <w:uiPriority w:val="99"/>
    <w:semiHidden/>
    <w:unhideWhenUsed/>
    <w:rsid w:val="00C42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7D"/>
    <w:rPr>
      <w:rFonts w:ascii="Segoe UI" w:hAnsi="Segoe UI" w:cs="Segoe UI"/>
      <w:sz w:val="18"/>
      <w:szCs w:val="18"/>
    </w:rPr>
  </w:style>
  <w:style w:type="paragraph" w:styleId="ListParagraph">
    <w:name w:val="List Paragraph"/>
    <w:basedOn w:val="Normal"/>
    <w:uiPriority w:val="34"/>
    <w:qFormat/>
    <w:rsid w:val="002A6E21"/>
    <w:pPr>
      <w:ind w:left="720"/>
      <w:contextualSpacing/>
    </w:pPr>
  </w:style>
  <w:style w:type="character" w:styleId="Strong">
    <w:name w:val="Strong"/>
    <w:basedOn w:val="DefaultParagraphFont"/>
    <w:uiPriority w:val="22"/>
    <w:qFormat/>
    <w:rsid w:val="002A6E21"/>
    <w:rPr>
      <w:b/>
      <w:bCs/>
    </w:rPr>
  </w:style>
  <w:style w:type="paragraph" w:styleId="CommentText">
    <w:name w:val="annotation text"/>
    <w:basedOn w:val="Normal"/>
    <w:link w:val="CommentTextChar"/>
    <w:uiPriority w:val="99"/>
    <w:unhideWhenUsed/>
    <w:rsid w:val="002A6E21"/>
    <w:pPr>
      <w:spacing w:line="240" w:lineRule="auto"/>
    </w:pPr>
    <w:rPr>
      <w:sz w:val="20"/>
      <w:szCs w:val="20"/>
    </w:rPr>
  </w:style>
  <w:style w:type="character" w:customStyle="1" w:styleId="CommentTextChar">
    <w:name w:val="Comment Text Char"/>
    <w:basedOn w:val="DefaultParagraphFont"/>
    <w:link w:val="CommentText"/>
    <w:uiPriority w:val="99"/>
    <w:rsid w:val="002A6E21"/>
    <w:rPr>
      <w:sz w:val="20"/>
      <w:szCs w:val="20"/>
    </w:rPr>
  </w:style>
  <w:style w:type="character" w:styleId="FollowedHyperlink">
    <w:name w:val="FollowedHyperlink"/>
    <w:basedOn w:val="DefaultParagraphFont"/>
    <w:uiPriority w:val="99"/>
    <w:semiHidden/>
    <w:unhideWhenUsed/>
    <w:rsid w:val="00697B29"/>
    <w:rPr>
      <w:color w:val="954F72" w:themeColor="followedHyperlink"/>
      <w:u w:val="single"/>
    </w:rPr>
  </w:style>
  <w:style w:type="character" w:styleId="UnresolvedMention">
    <w:name w:val="Unresolved Mention"/>
    <w:basedOn w:val="DefaultParagraphFont"/>
    <w:uiPriority w:val="99"/>
    <w:semiHidden/>
    <w:unhideWhenUsed/>
    <w:rsid w:val="00902A66"/>
    <w:rPr>
      <w:color w:val="605E5C"/>
      <w:shd w:val="clear" w:color="auto" w:fill="E1DFDD"/>
    </w:rPr>
  </w:style>
  <w:style w:type="character" w:customStyle="1" w:styleId="Heading2Char">
    <w:name w:val="Heading 2 Char"/>
    <w:basedOn w:val="DefaultParagraphFont"/>
    <w:link w:val="Heading2"/>
    <w:uiPriority w:val="9"/>
    <w:rsid w:val="00E64C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1749B"/>
    <w:rPr>
      <w:sz w:val="16"/>
      <w:szCs w:val="16"/>
    </w:rPr>
  </w:style>
  <w:style w:type="paragraph" w:styleId="CommentSubject">
    <w:name w:val="annotation subject"/>
    <w:basedOn w:val="CommentText"/>
    <w:next w:val="CommentText"/>
    <w:link w:val="CommentSubjectChar"/>
    <w:uiPriority w:val="99"/>
    <w:semiHidden/>
    <w:unhideWhenUsed/>
    <w:rsid w:val="0061749B"/>
    <w:rPr>
      <w:b/>
      <w:bCs/>
    </w:rPr>
  </w:style>
  <w:style w:type="character" w:customStyle="1" w:styleId="CommentSubjectChar">
    <w:name w:val="Comment Subject Char"/>
    <w:basedOn w:val="CommentTextChar"/>
    <w:link w:val="CommentSubject"/>
    <w:uiPriority w:val="99"/>
    <w:semiHidden/>
    <w:rsid w:val="006174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3629">
      <w:bodyDiv w:val="1"/>
      <w:marLeft w:val="0"/>
      <w:marRight w:val="0"/>
      <w:marTop w:val="0"/>
      <w:marBottom w:val="0"/>
      <w:divBdr>
        <w:top w:val="none" w:sz="0" w:space="0" w:color="auto"/>
        <w:left w:val="none" w:sz="0" w:space="0" w:color="auto"/>
        <w:bottom w:val="none" w:sz="0" w:space="0" w:color="auto"/>
        <w:right w:val="none" w:sz="0" w:space="0" w:color="auto"/>
      </w:divBdr>
    </w:div>
    <w:div w:id="140581002">
      <w:bodyDiv w:val="1"/>
      <w:marLeft w:val="0"/>
      <w:marRight w:val="0"/>
      <w:marTop w:val="0"/>
      <w:marBottom w:val="0"/>
      <w:divBdr>
        <w:top w:val="none" w:sz="0" w:space="0" w:color="auto"/>
        <w:left w:val="none" w:sz="0" w:space="0" w:color="auto"/>
        <w:bottom w:val="none" w:sz="0" w:space="0" w:color="auto"/>
        <w:right w:val="none" w:sz="0" w:space="0" w:color="auto"/>
      </w:divBdr>
    </w:div>
    <w:div w:id="260070145">
      <w:bodyDiv w:val="1"/>
      <w:marLeft w:val="0"/>
      <w:marRight w:val="0"/>
      <w:marTop w:val="0"/>
      <w:marBottom w:val="0"/>
      <w:divBdr>
        <w:top w:val="none" w:sz="0" w:space="0" w:color="auto"/>
        <w:left w:val="none" w:sz="0" w:space="0" w:color="auto"/>
        <w:bottom w:val="none" w:sz="0" w:space="0" w:color="auto"/>
        <w:right w:val="none" w:sz="0" w:space="0" w:color="auto"/>
      </w:divBdr>
      <w:divsChild>
        <w:div w:id="1371805603">
          <w:marLeft w:val="4217"/>
          <w:marRight w:val="4217"/>
          <w:marTop w:val="0"/>
          <w:marBottom w:val="0"/>
          <w:divBdr>
            <w:top w:val="none" w:sz="0" w:space="0" w:color="auto"/>
            <w:left w:val="none" w:sz="0" w:space="0" w:color="auto"/>
            <w:bottom w:val="none" w:sz="0" w:space="0" w:color="auto"/>
            <w:right w:val="none" w:sz="0" w:space="0" w:color="auto"/>
          </w:divBdr>
          <w:divsChild>
            <w:div w:id="1328553841">
              <w:marLeft w:val="0"/>
              <w:marRight w:val="0"/>
              <w:marTop w:val="0"/>
              <w:marBottom w:val="0"/>
              <w:divBdr>
                <w:top w:val="none" w:sz="0" w:space="0" w:color="auto"/>
                <w:left w:val="none" w:sz="0" w:space="0" w:color="auto"/>
                <w:bottom w:val="none" w:sz="0" w:space="0" w:color="auto"/>
                <w:right w:val="none" w:sz="0" w:space="0" w:color="auto"/>
              </w:divBdr>
              <w:divsChild>
                <w:div w:id="750349922">
                  <w:marLeft w:val="0"/>
                  <w:marRight w:val="0"/>
                  <w:marTop w:val="0"/>
                  <w:marBottom w:val="0"/>
                  <w:divBdr>
                    <w:top w:val="none" w:sz="0" w:space="0" w:color="auto"/>
                    <w:left w:val="none" w:sz="0" w:space="0" w:color="auto"/>
                    <w:bottom w:val="none" w:sz="0" w:space="0" w:color="auto"/>
                    <w:right w:val="none" w:sz="0" w:space="0" w:color="auto"/>
                  </w:divBdr>
                  <w:divsChild>
                    <w:div w:id="288324374">
                      <w:marLeft w:val="839"/>
                      <w:marRight w:val="0"/>
                      <w:marTop w:val="0"/>
                      <w:marBottom w:val="0"/>
                      <w:divBdr>
                        <w:top w:val="none" w:sz="0" w:space="0" w:color="auto"/>
                        <w:left w:val="none" w:sz="0" w:space="0" w:color="auto"/>
                        <w:bottom w:val="none" w:sz="0" w:space="0" w:color="auto"/>
                        <w:right w:val="none" w:sz="0" w:space="0" w:color="auto"/>
                      </w:divBdr>
                      <w:divsChild>
                        <w:div w:id="647318233">
                          <w:marLeft w:val="0"/>
                          <w:marRight w:val="0"/>
                          <w:marTop w:val="0"/>
                          <w:marBottom w:val="0"/>
                          <w:divBdr>
                            <w:top w:val="none" w:sz="0" w:space="0" w:color="auto"/>
                            <w:left w:val="none" w:sz="0" w:space="0" w:color="auto"/>
                            <w:bottom w:val="none" w:sz="0" w:space="0" w:color="auto"/>
                            <w:right w:val="none" w:sz="0" w:space="0" w:color="auto"/>
                          </w:divBdr>
                          <w:divsChild>
                            <w:div w:id="1141850368">
                              <w:marLeft w:val="0"/>
                              <w:marRight w:val="0"/>
                              <w:marTop w:val="0"/>
                              <w:marBottom w:val="0"/>
                              <w:divBdr>
                                <w:top w:val="none" w:sz="0" w:space="0" w:color="auto"/>
                                <w:left w:val="none" w:sz="0" w:space="0" w:color="auto"/>
                                <w:bottom w:val="none" w:sz="0" w:space="0" w:color="auto"/>
                                <w:right w:val="none" w:sz="0" w:space="0" w:color="auto"/>
                              </w:divBdr>
                              <w:divsChild>
                                <w:div w:id="2113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91420">
          <w:marLeft w:val="4217"/>
          <w:marRight w:val="4217"/>
          <w:marTop w:val="0"/>
          <w:marBottom w:val="0"/>
          <w:divBdr>
            <w:top w:val="none" w:sz="0" w:space="0" w:color="auto"/>
            <w:left w:val="none" w:sz="0" w:space="0" w:color="auto"/>
            <w:bottom w:val="none" w:sz="0" w:space="0" w:color="auto"/>
            <w:right w:val="none" w:sz="0" w:space="0" w:color="auto"/>
          </w:divBdr>
          <w:divsChild>
            <w:div w:id="238908514">
              <w:marLeft w:val="0"/>
              <w:marRight w:val="0"/>
              <w:marTop w:val="0"/>
              <w:marBottom w:val="0"/>
              <w:divBdr>
                <w:top w:val="none" w:sz="0" w:space="0" w:color="auto"/>
                <w:left w:val="none" w:sz="0" w:space="0" w:color="auto"/>
                <w:bottom w:val="none" w:sz="0" w:space="0" w:color="auto"/>
                <w:right w:val="none" w:sz="0" w:space="0" w:color="auto"/>
              </w:divBdr>
              <w:divsChild>
                <w:div w:id="1356539136">
                  <w:marLeft w:val="0"/>
                  <w:marRight w:val="0"/>
                  <w:marTop w:val="0"/>
                  <w:marBottom w:val="0"/>
                  <w:divBdr>
                    <w:top w:val="none" w:sz="0" w:space="0" w:color="auto"/>
                    <w:left w:val="none" w:sz="0" w:space="0" w:color="auto"/>
                    <w:bottom w:val="none" w:sz="0" w:space="0" w:color="auto"/>
                    <w:right w:val="none" w:sz="0" w:space="0" w:color="auto"/>
                  </w:divBdr>
                  <w:divsChild>
                    <w:div w:id="123667205">
                      <w:marLeft w:val="839"/>
                      <w:marRight w:val="0"/>
                      <w:marTop w:val="0"/>
                      <w:marBottom w:val="0"/>
                      <w:divBdr>
                        <w:top w:val="none" w:sz="0" w:space="0" w:color="auto"/>
                        <w:left w:val="none" w:sz="0" w:space="0" w:color="auto"/>
                        <w:bottom w:val="none" w:sz="0" w:space="0" w:color="auto"/>
                        <w:right w:val="none" w:sz="0" w:space="0" w:color="auto"/>
                      </w:divBdr>
                      <w:divsChild>
                        <w:div w:id="1342663497">
                          <w:marLeft w:val="0"/>
                          <w:marRight w:val="0"/>
                          <w:marTop w:val="0"/>
                          <w:marBottom w:val="0"/>
                          <w:divBdr>
                            <w:top w:val="none" w:sz="0" w:space="0" w:color="auto"/>
                            <w:left w:val="none" w:sz="0" w:space="0" w:color="auto"/>
                            <w:bottom w:val="none" w:sz="0" w:space="0" w:color="auto"/>
                            <w:right w:val="none" w:sz="0" w:space="0" w:color="auto"/>
                          </w:divBdr>
                          <w:divsChild>
                            <w:div w:id="1964261306">
                              <w:marLeft w:val="0"/>
                              <w:marRight w:val="0"/>
                              <w:marTop w:val="0"/>
                              <w:marBottom w:val="0"/>
                              <w:divBdr>
                                <w:top w:val="none" w:sz="0" w:space="0" w:color="auto"/>
                                <w:left w:val="none" w:sz="0" w:space="0" w:color="auto"/>
                                <w:bottom w:val="none" w:sz="0" w:space="0" w:color="auto"/>
                                <w:right w:val="none" w:sz="0" w:space="0" w:color="auto"/>
                              </w:divBdr>
                              <w:divsChild>
                                <w:div w:id="1488786694">
                                  <w:marLeft w:val="0"/>
                                  <w:marRight w:val="0"/>
                                  <w:marTop w:val="0"/>
                                  <w:marBottom w:val="270"/>
                                  <w:divBdr>
                                    <w:top w:val="none" w:sz="0" w:space="0" w:color="auto"/>
                                    <w:left w:val="none" w:sz="0" w:space="0" w:color="auto"/>
                                    <w:bottom w:val="none" w:sz="0" w:space="0" w:color="auto"/>
                                    <w:right w:val="none" w:sz="0" w:space="0" w:color="auto"/>
                                  </w:divBdr>
                                  <w:divsChild>
                                    <w:div w:id="1486895567">
                                      <w:marLeft w:val="0"/>
                                      <w:marRight w:val="0"/>
                                      <w:marTop w:val="0"/>
                                      <w:marBottom w:val="0"/>
                                      <w:divBdr>
                                        <w:top w:val="none" w:sz="0" w:space="0" w:color="auto"/>
                                        <w:left w:val="none" w:sz="0" w:space="0" w:color="auto"/>
                                        <w:bottom w:val="none" w:sz="0" w:space="0" w:color="auto"/>
                                        <w:right w:val="none" w:sz="0" w:space="0" w:color="auto"/>
                                      </w:divBdr>
                                    </w:div>
                                  </w:divsChild>
                                </w:div>
                                <w:div w:id="1448890476">
                                  <w:marLeft w:val="0"/>
                                  <w:marRight w:val="0"/>
                                  <w:marTop w:val="0"/>
                                  <w:marBottom w:val="270"/>
                                  <w:divBdr>
                                    <w:top w:val="none" w:sz="0" w:space="0" w:color="auto"/>
                                    <w:left w:val="none" w:sz="0" w:space="0" w:color="auto"/>
                                    <w:bottom w:val="none" w:sz="0" w:space="0" w:color="auto"/>
                                    <w:right w:val="none" w:sz="0" w:space="0" w:color="auto"/>
                                  </w:divBdr>
                                  <w:divsChild>
                                    <w:div w:id="442650195">
                                      <w:marLeft w:val="0"/>
                                      <w:marRight w:val="0"/>
                                      <w:marTop w:val="0"/>
                                      <w:marBottom w:val="0"/>
                                      <w:divBdr>
                                        <w:top w:val="none" w:sz="0" w:space="0" w:color="auto"/>
                                        <w:left w:val="none" w:sz="0" w:space="0" w:color="auto"/>
                                        <w:bottom w:val="none" w:sz="0" w:space="0" w:color="auto"/>
                                        <w:right w:val="none" w:sz="0" w:space="0" w:color="auto"/>
                                      </w:divBdr>
                                    </w:div>
                                  </w:divsChild>
                                </w:div>
                                <w:div w:id="26954564">
                                  <w:marLeft w:val="0"/>
                                  <w:marRight w:val="0"/>
                                  <w:marTop w:val="0"/>
                                  <w:marBottom w:val="270"/>
                                  <w:divBdr>
                                    <w:top w:val="none" w:sz="0" w:space="0" w:color="auto"/>
                                    <w:left w:val="none" w:sz="0" w:space="0" w:color="auto"/>
                                    <w:bottom w:val="none" w:sz="0" w:space="0" w:color="auto"/>
                                    <w:right w:val="none" w:sz="0" w:space="0" w:color="auto"/>
                                  </w:divBdr>
                                  <w:divsChild>
                                    <w:div w:id="1536306806">
                                      <w:marLeft w:val="0"/>
                                      <w:marRight w:val="0"/>
                                      <w:marTop w:val="0"/>
                                      <w:marBottom w:val="0"/>
                                      <w:divBdr>
                                        <w:top w:val="none" w:sz="0" w:space="0" w:color="auto"/>
                                        <w:left w:val="none" w:sz="0" w:space="0" w:color="auto"/>
                                        <w:bottom w:val="none" w:sz="0" w:space="0" w:color="auto"/>
                                        <w:right w:val="none" w:sz="0" w:space="0" w:color="auto"/>
                                      </w:divBdr>
                                    </w:div>
                                  </w:divsChild>
                                </w:div>
                                <w:div w:id="4940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91201">
          <w:marLeft w:val="4217"/>
          <w:marRight w:val="4217"/>
          <w:marTop w:val="0"/>
          <w:marBottom w:val="0"/>
          <w:divBdr>
            <w:top w:val="none" w:sz="0" w:space="0" w:color="auto"/>
            <w:left w:val="none" w:sz="0" w:space="0" w:color="auto"/>
            <w:bottom w:val="none" w:sz="0" w:space="0" w:color="auto"/>
            <w:right w:val="none" w:sz="0" w:space="0" w:color="auto"/>
          </w:divBdr>
          <w:divsChild>
            <w:div w:id="1717075010">
              <w:marLeft w:val="0"/>
              <w:marRight w:val="0"/>
              <w:marTop w:val="0"/>
              <w:marBottom w:val="0"/>
              <w:divBdr>
                <w:top w:val="none" w:sz="0" w:space="0" w:color="auto"/>
                <w:left w:val="none" w:sz="0" w:space="0" w:color="auto"/>
                <w:bottom w:val="none" w:sz="0" w:space="0" w:color="auto"/>
                <w:right w:val="none" w:sz="0" w:space="0" w:color="auto"/>
              </w:divBdr>
              <w:divsChild>
                <w:div w:id="55934063">
                  <w:marLeft w:val="0"/>
                  <w:marRight w:val="0"/>
                  <w:marTop w:val="0"/>
                  <w:marBottom w:val="0"/>
                  <w:divBdr>
                    <w:top w:val="none" w:sz="0" w:space="0" w:color="auto"/>
                    <w:left w:val="none" w:sz="0" w:space="0" w:color="auto"/>
                    <w:bottom w:val="none" w:sz="0" w:space="0" w:color="auto"/>
                    <w:right w:val="none" w:sz="0" w:space="0" w:color="auto"/>
                  </w:divBdr>
                  <w:divsChild>
                    <w:div w:id="962223781">
                      <w:marLeft w:val="839"/>
                      <w:marRight w:val="0"/>
                      <w:marTop w:val="0"/>
                      <w:marBottom w:val="0"/>
                      <w:divBdr>
                        <w:top w:val="none" w:sz="0" w:space="0" w:color="auto"/>
                        <w:left w:val="none" w:sz="0" w:space="0" w:color="auto"/>
                        <w:bottom w:val="none" w:sz="0" w:space="0" w:color="auto"/>
                        <w:right w:val="none" w:sz="0" w:space="0" w:color="auto"/>
                      </w:divBdr>
                      <w:divsChild>
                        <w:div w:id="831725444">
                          <w:marLeft w:val="0"/>
                          <w:marRight w:val="0"/>
                          <w:marTop w:val="0"/>
                          <w:marBottom w:val="0"/>
                          <w:divBdr>
                            <w:top w:val="none" w:sz="0" w:space="0" w:color="auto"/>
                            <w:left w:val="none" w:sz="0" w:space="0" w:color="auto"/>
                            <w:bottom w:val="none" w:sz="0" w:space="0" w:color="auto"/>
                            <w:right w:val="none" w:sz="0" w:space="0" w:color="auto"/>
                          </w:divBdr>
                          <w:divsChild>
                            <w:div w:id="1020426984">
                              <w:marLeft w:val="0"/>
                              <w:marRight w:val="0"/>
                              <w:marTop w:val="0"/>
                              <w:marBottom w:val="0"/>
                              <w:divBdr>
                                <w:top w:val="none" w:sz="0" w:space="0" w:color="auto"/>
                                <w:left w:val="none" w:sz="0" w:space="0" w:color="auto"/>
                                <w:bottom w:val="none" w:sz="0" w:space="0" w:color="auto"/>
                                <w:right w:val="none" w:sz="0" w:space="0" w:color="auto"/>
                              </w:divBdr>
                              <w:divsChild>
                                <w:div w:id="1754274486">
                                  <w:marLeft w:val="0"/>
                                  <w:marRight w:val="0"/>
                                  <w:marTop w:val="0"/>
                                  <w:marBottom w:val="0"/>
                                  <w:divBdr>
                                    <w:top w:val="none" w:sz="0" w:space="0" w:color="auto"/>
                                    <w:left w:val="none" w:sz="0" w:space="0" w:color="auto"/>
                                    <w:bottom w:val="none" w:sz="0" w:space="0" w:color="auto"/>
                                    <w:right w:val="none" w:sz="0" w:space="0" w:color="auto"/>
                                  </w:divBdr>
                                </w:div>
                                <w:div w:id="2086950203">
                                  <w:marLeft w:val="0"/>
                                  <w:marRight w:val="0"/>
                                  <w:marTop w:val="0"/>
                                  <w:marBottom w:val="240"/>
                                  <w:divBdr>
                                    <w:top w:val="none" w:sz="0" w:space="0" w:color="auto"/>
                                    <w:left w:val="none" w:sz="0" w:space="0" w:color="auto"/>
                                    <w:bottom w:val="none" w:sz="0" w:space="0" w:color="auto"/>
                                    <w:right w:val="none" w:sz="0" w:space="0" w:color="auto"/>
                                  </w:divBdr>
                                </w:div>
                                <w:div w:id="304960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5393217">
                          <w:marLeft w:val="0"/>
                          <w:marRight w:val="0"/>
                          <w:marTop w:val="0"/>
                          <w:marBottom w:val="0"/>
                          <w:divBdr>
                            <w:top w:val="none" w:sz="0" w:space="0" w:color="auto"/>
                            <w:left w:val="none" w:sz="0" w:space="0" w:color="auto"/>
                            <w:bottom w:val="none" w:sz="0" w:space="0" w:color="auto"/>
                            <w:right w:val="none" w:sz="0" w:space="0" w:color="auto"/>
                          </w:divBdr>
                          <w:divsChild>
                            <w:div w:id="1058557664">
                              <w:marLeft w:val="0"/>
                              <w:marRight w:val="0"/>
                              <w:marTop w:val="0"/>
                              <w:marBottom w:val="0"/>
                              <w:divBdr>
                                <w:top w:val="none" w:sz="0" w:space="0" w:color="auto"/>
                                <w:left w:val="none" w:sz="0" w:space="0" w:color="auto"/>
                                <w:bottom w:val="none" w:sz="0" w:space="0" w:color="auto"/>
                                <w:right w:val="none" w:sz="0" w:space="0" w:color="auto"/>
                              </w:divBdr>
                              <w:divsChild>
                                <w:div w:id="66463631">
                                  <w:marLeft w:val="0"/>
                                  <w:marRight w:val="0"/>
                                  <w:marTop w:val="0"/>
                                  <w:marBottom w:val="0"/>
                                  <w:divBdr>
                                    <w:top w:val="none" w:sz="0" w:space="0" w:color="auto"/>
                                    <w:left w:val="none" w:sz="0" w:space="0" w:color="auto"/>
                                    <w:bottom w:val="none" w:sz="0" w:space="0" w:color="auto"/>
                                    <w:right w:val="none" w:sz="0" w:space="0" w:color="auto"/>
                                  </w:divBdr>
                                  <w:divsChild>
                                    <w:div w:id="6790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981512">
      <w:bodyDiv w:val="1"/>
      <w:marLeft w:val="0"/>
      <w:marRight w:val="0"/>
      <w:marTop w:val="0"/>
      <w:marBottom w:val="0"/>
      <w:divBdr>
        <w:top w:val="none" w:sz="0" w:space="0" w:color="auto"/>
        <w:left w:val="none" w:sz="0" w:space="0" w:color="auto"/>
        <w:bottom w:val="none" w:sz="0" w:space="0" w:color="auto"/>
        <w:right w:val="none" w:sz="0" w:space="0" w:color="auto"/>
      </w:divBdr>
    </w:div>
    <w:div w:id="960307381">
      <w:bodyDiv w:val="1"/>
      <w:marLeft w:val="0"/>
      <w:marRight w:val="0"/>
      <w:marTop w:val="0"/>
      <w:marBottom w:val="0"/>
      <w:divBdr>
        <w:top w:val="none" w:sz="0" w:space="0" w:color="auto"/>
        <w:left w:val="none" w:sz="0" w:space="0" w:color="auto"/>
        <w:bottom w:val="none" w:sz="0" w:space="0" w:color="auto"/>
        <w:right w:val="none" w:sz="0" w:space="0" w:color="auto"/>
      </w:divBdr>
    </w:div>
    <w:div w:id="1030036558">
      <w:bodyDiv w:val="1"/>
      <w:marLeft w:val="0"/>
      <w:marRight w:val="0"/>
      <w:marTop w:val="0"/>
      <w:marBottom w:val="0"/>
      <w:divBdr>
        <w:top w:val="none" w:sz="0" w:space="0" w:color="auto"/>
        <w:left w:val="none" w:sz="0" w:space="0" w:color="auto"/>
        <w:bottom w:val="none" w:sz="0" w:space="0" w:color="auto"/>
        <w:right w:val="none" w:sz="0" w:space="0" w:color="auto"/>
      </w:divBdr>
    </w:div>
    <w:div w:id="1230268889">
      <w:bodyDiv w:val="1"/>
      <w:marLeft w:val="0"/>
      <w:marRight w:val="0"/>
      <w:marTop w:val="0"/>
      <w:marBottom w:val="0"/>
      <w:divBdr>
        <w:top w:val="none" w:sz="0" w:space="0" w:color="auto"/>
        <w:left w:val="none" w:sz="0" w:space="0" w:color="auto"/>
        <w:bottom w:val="none" w:sz="0" w:space="0" w:color="auto"/>
        <w:right w:val="none" w:sz="0" w:space="0" w:color="auto"/>
      </w:divBdr>
    </w:div>
    <w:div w:id="1550385294">
      <w:bodyDiv w:val="1"/>
      <w:marLeft w:val="0"/>
      <w:marRight w:val="0"/>
      <w:marTop w:val="0"/>
      <w:marBottom w:val="0"/>
      <w:divBdr>
        <w:top w:val="none" w:sz="0" w:space="0" w:color="auto"/>
        <w:left w:val="none" w:sz="0" w:space="0" w:color="auto"/>
        <w:bottom w:val="none" w:sz="0" w:space="0" w:color="auto"/>
        <w:right w:val="none" w:sz="0" w:space="0" w:color="auto"/>
      </w:divBdr>
    </w:div>
    <w:div w:id="1634600800">
      <w:bodyDiv w:val="1"/>
      <w:marLeft w:val="0"/>
      <w:marRight w:val="0"/>
      <w:marTop w:val="0"/>
      <w:marBottom w:val="0"/>
      <w:divBdr>
        <w:top w:val="none" w:sz="0" w:space="0" w:color="auto"/>
        <w:left w:val="none" w:sz="0" w:space="0" w:color="auto"/>
        <w:bottom w:val="none" w:sz="0" w:space="0" w:color="auto"/>
        <w:right w:val="none" w:sz="0" w:space="0" w:color="auto"/>
      </w:divBdr>
    </w:div>
    <w:div w:id="1773623577">
      <w:bodyDiv w:val="1"/>
      <w:marLeft w:val="0"/>
      <w:marRight w:val="0"/>
      <w:marTop w:val="0"/>
      <w:marBottom w:val="0"/>
      <w:divBdr>
        <w:top w:val="none" w:sz="0" w:space="0" w:color="auto"/>
        <w:left w:val="none" w:sz="0" w:space="0" w:color="auto"/>
        <w:bottom w:val="none" w:sz="0" w:space="0" w:color="auto"/>
        <w:right w:val="none" w:sz="0" w:space="0" w:color="auto"/>
      </w:divBdr>
    </w:div>
    <w:div w:id="180966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org.uk/topics/coronavirus/coronavirus-covid-19-guidance-to-conveyancers-advising-clients-on-house-moves"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property@lawsociety.org.uk" TargetMode="External"/><Relationship Id="rId2" Type="http://schemas.openxmlformats.org/officeDocument/2006/relationships/customXml" Target="../customXml/item2.xml"/><Relationship Id="rId16" Type="http://schemas.openxmlformats.org/officeDocument/2006/relationships/hyperlink" Target="https://gov.wales/moving-home-during-coronavirus-pandem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view-of-two-metre-social-distancing-guidance/review-of-two-metre-social-distancing-guidance" TargetMode="External"/><Relationship Id="rId5" Type="http://schemas.openxmlformats.org/officeDocument/2006/relationships/styles" Target="styles.xml"/><Relationship Id="rId15" Type="http://schemas.openxmlformats.org/officeDocument/2006/relationships/hyperlink" Target="https://protect-eu.mimecast.com/s/JZOhCql3Du84E5OtWDW9w?domain=lnks.gd" TargetMode="External"/><Relationship Id="rId10" Type="http://schemas.openxmlformats.org/officeDocument/2006/relationships/hyperlink" Target="https://www.gov.uk/guidance/government-advice-on-home-moving-during-the-coronavirus-covid-19-outbreak?utm_source=683d3d45-b25c-4bbd-b5ba-871d2d836a94&amp;utm_medium=email&amp;utm_campaign=govuk-notifications&amp;utm_content=daily"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gov.uk/guidance/government-advice-on-home-moving-during-the-coronavirus-covid-19-outbreak" TargetMode="External"/><Relationship Id="rId14" Type="http://schemas.microsoft.com/office/2016/09/relationships/commentsIds" Target="commentsIds.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A471BA158CC346B4C78258E5FEDE06" ma:contentTypeVersion="12" ma:contentTypeDescription="Create a new document." ma:contentTypeScope="" ma:versionID="a4063a13cbb0f830318512b62829aa7a">
  <xsd:schema xmlns:xsd="http://www.w3.org/2001/XMLSchema" xmlns:xs="http://www.w3.org/2001/XMLSchema" xmlns:p="http://schemas.microsoft.com/office/2006/metadata/properties" xmlns:ns3="8bf5e7e9-22c7-4bca-81f6-a7a10dd8fa32" xmlns:ns4="cd12b66f-813b-41c8-9512-10a972a338b9" targetNamespace="http://schemas.microsoft.com/office/2006/metadata/properties" ma:root="true" ma:fieldsID="101dcae9a27f8427512b2ca1cce96125" ns3:_="" ns4:_="">
    <xsd:import namespace="8bf5e7e9-22c7-4bca-81f6-a7a10dd8fa32"/>
    <xsd:import namespace="cd12b66f-813b-41c8-9512-10a972a338b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5e7e9-22c7-4bca-81f6-a7a10dd8fa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2b66f-813b-41c8-9512-10a972a338b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42C2C3-7CB2-4616-90D1-FDD86D8553ED}">
  <ds:schemaRefs>
    <ds:schemaRef ds:uri="http://schemas.microsoft.com/sharepoint/v3/contenttype/forms"/>
  </ds:schemaRefs>
</ds:datastoreItem>
</file>

<file path=customXml/itemProps2.xml><?xml version="1.0" encoding="utf-8"?>
<ds:datastoreItem xmlns:ds="http://schemas.openxmlformats.org/officeDocument/2006/customXml" ds:itemID="{889735EB-63EE-4E8A-8DE4-EFC8873D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5e7e9-22c7-4bca-81f6-a7a10dd8fa32"/>
    <ds:schemaRef ds:uri="cd12b66f-813b-41c8-9512-10a972a33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67CB0-8396-41FF-97EA-FCD8E9EB42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4656</Words>
  <Characters>26543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Geroe</dc:creator>
  <cp:keywords/>
  <dc:description/>
  <cp:lastModifiedBy>Diane Latter</cp:lastModifiedBy>
  <cp:revision>2</cp:revision>
  <dcterms:created xsi:type="dcterms:W3CDTF">2021-02-03T15:31:00Z</dcterms:created>
  <dcterms:modified xsi:type="dcterms:W3CDTF">2021-02-03T15:31:00Z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0x01010045A471BA158CC346B4C78258E5FEDE06</vt:lpwstr>
  </property>
</Properties>
</file>